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7.10 -->
  <w:body>
    <w:p w:rsidR="001C74D6" w14:paraId="485F06CB" w14:textId="77777777">
      <w:pPr>
        <w:pStyle w:val="RefAgency"/>
        <w:tabs>
          <w:tab w:val="left" w:pos="1277"/>
        </w:tabs>
      </w:pPr>
      <w:r>
        <w:t>25 November 2020</w:t>
      </w:r>
    </w:p>
    <w:p w:rsidR="001C74D6" w14:paraId="0094759D" w14:textId="77777777">
      <w:pPr>
        <w:pStyle w:val="RefAgency"/>
        <w:tabs>
          <w:tab w:val="left" w:pos="1287"/>
        </w:tabs>
      </w:pPr>
      <w:r w:rsidRPr="00321A33">
        <w:rPr>
          <w:szCs w:val="15"/>
        </w:rPr>
        <w:fldChar w:fldCharType="begin"/>
      </w:r>
      <w:r w:rsidRPr="00321A33">
        <w:rPr>
          <w:szCs w:val="15"/>
        </w:rPr>
        <w:instrText xml:space="preserve"> IF </w:instrText>
      </w:r>
      <w:r w:rsidR="00D04A9F">
        <w:fldChar w:fldCharType="begin"/>
      </w:r>
      <w:r>
        <w:instrText xml:space="preserve"> DOCPROPERTY "DM_emea_doc_ref_id"  \* MERGEFORMAT </w:instrText>
      </w:r>
      <w:r w:rsidR="00D04A9F">
        <w:fldChar w:fldCharType="separate"/>
      </w:r>
      <w:r w:rsidR="00D04A9F">
        <w:instrText>EMA/637405/2020</w:instrText>
      </w:r>
      <w:r w:rsidR="00D04A9F">
        <w:fldChar w:fldCharType="end"/>
      </w:r>
      <w:r w:rsidRPr="00321A33">
        <w:rPr>
          <w:szCs w:val="15"/>
        </w:rPr>
        <w:instrText xml:space="preserve"> &lt;&gt; "Error*"</w:instrText>
      </w:r>
      <w:r w:rsidR="00D04A9F">
        <w:fldChar w:fldCharType="begin"/>
      </w:r>
      <w:r>
        <w:instrText xml:space="preserve"> DOCPROPERTY "DM_emea_doc_ref_id"  \* MERGEFORMAT </w:instrText>
      </w:r>
      <w:r w:rsidR="00D04A9F">
        <w:fldChar w:fldCharType="separate"/>
      </w:r>
      <w:r w:rsidR="00D04A9F">
        <w:instrText>EMA/637405/2020</w:instrText>
      </w:r>
      <w:r w:rsidR="00D04A9F">
        <w:fldChar w:fldCharType="end"/>
      </w:r>
      <w:r w:rsidRPr="00321A33">
        <w:rPr>
          <w:szCs w:val="15"/>
        </w:rPr>
        <w:instrText xml:space="preserve"> \* MERGEFORMAT </w:instrText>
      </w:r>
      <w:r w:rsidRPr="00321A33">
        <w:rPr>
          <w:szCs w:val="15"/>
        </w:rPr>
        <w:fldChar w:fldCharType="separate"/>
      </w:r>
      <w:r w:rsidR="00D04A9F">
        <w:rPr>
          <w:noProof/>
        </w:rPr>
        <w:t>EMA/637405/2020</w:t>
      </w:r>
      <w:r w:rsidRPr="00321A33">
        <w:rPr>
          <w:szCs w:val="15"/>
        </w:rPr>
        <w:fldChar w:fldCharType="end"/>
      </w:r>
    </w:p>
    <w:p w:rsidR="001C74D6" w14:paraId="5A70AFAC" w14:textId="77777777">
      <w:pPr>
        <w:pStyle w:val="RefAgency"/>
        <w:tabs>
          <w:tab w:val="left" w:pos="1384"/>
        </w:tabs>
      </w:pPr>
      <w:bookmarkStart w:id="0" w:name="Head"/>
      <w:r>
        <w:t>MLT</w:t>
      </w:r>
      <w:r w:rsidRPr="00C42611" w:rsidR="00C42611">
        <w:t xml:space="preserve"> </w:t>
      </w:r>
      <w:bookmarkEnd w:id="0"/>
    </w:p>
    <w:p w:rsidR="00EC5EB0" w:rsidRPr="00C12EBC" w:rsidP="00EC5EB0" w14:paraId="301036B3" w14:textId="6DDBF879">
      <w:pPr>
        <w:pStyle w:val="DoctitleAgency"/>
      </w:pPr>
      <w:bookmarkStart w:id="1" w:name="DocTitle"/>
      <w:r>
        <w:t>Rolling report</w:t>
      </w:r>
      <w:r w:rsidR="00C12EBC">
        <w:t xml:space="preserve"> of </w:t>
      </w:r>
      <w:r w:rsidRPr="00C12EBC" w:rsidR="00C12EBC">
        <w:t xml:space="preserve">COVID-19 </w:t>
      </w:r>
      <w:r w:rsidR="00C12EBC">
        <w:t xml:space="preserve">related MLT </w:t>
      </w:r>
      <w:bookmarkEnd w:id="1"/>
      <w:r w:rsidR="00235718">
        <w:t>outcome</w:t>
      </w:r>
      <w:bookmarkStart w:id="2" w:name="_GoBack"/>
      <w:bookmarkEnd w:id="2"/>
    </w:p>
    <w:p w:rsidR="00997CCE" w:rsidRPr="00FF0D47" w:rsidP="00FF0D47" w14:paraId="790F2E77" w14:textId="77777777">
      <w:pPr>
        <w:pStyle w:val="DocsubtitleAgency"/>
      </w:pPr>
      <w:r>
        <w:t>La</w:t>
      </w:r>
      <w:r w:rsidR="00FF0D47">
        <w:t>st</w:t>
      </w:r>
      <w:r>
        <w:t xml:space="preserve"> MLT date: </w:t>
      </w:r>
      <w:r w:rsidRPr="00FF0D47" w:rsidR="00FC1D30">
        <w:t>25 November 2020</w:t>
      </w:r>
      <w:r w:rsidR="00FF0D47">
        <w:t xml:space="preserve"> (ad-hoc)</w:t>
      </w:r>
    </w:p>
    <w:tbl>
      <w:tblPr>
        <w:tblStyle w:val="TablegridAgency"/>
        <w:tblW w:w="0" w:type="auto"/>
        <w:tblLayout w:type="fixed"/>
        <w:tblCellMar>
          <w:top w:w="57" w:type="dxa"/>
          <w:bottom w:w="57" w:type="dxa"/>
        </w:tblCellMar>
        <w:tblLook w:val="04A0"/>
      </w:tblPr>
      <w:tblGrid>
        <w:gridCol w:w="1295"/>
        <w:gridCol w:w="1223"/>
        <w:gridCol w:w="5103"/>
        <w:gridCol w:w="2008"/>
      </w:tblGrid>
      <w:tr w14:paraId="404A8F31" w14:textId="77777777" w:rsidTr="001F6A82">
        <w:tblPrEx>
          <w:tblW w:w="0" w:type="auto"/>
          <w:tblLayout w:type="fixed"/>
          <w:tblCellMar>
            <w:top w:w="57" w:type="dxa"/>
            <w:bottom w:w="57" w:type="dxa"/>
          </w:tblCellMar>
          <w:tblLook w:val="04A0"/>
        </w:tblPrEx>
        <w:tc>
          <w:tcPr>
            <w:tcW w:w="1295" w:type="dxa"/>
          </w:tcPr>
          <w:p w:rsidR="008653B1" w:rsidRPr="005F7678" w:rsidP="005F7678" w14:paraId="56768955" w14:textId="77777777">
            <w:pPr>
              <w:pStyle w:val="BodytextAgency"/>
            </w:pPr>
            <w:r w:rsidRPr="005F7678">
              <w:rPr>
                <w:rFonts w:ascii="Verdana" w:hAnsi="Verdana"/>
              </w:rPr>
              <w:t>Date</w:t>
            </w:r>
          </w:p>
        </w:tc>
        <w:tc>
          <w:tcPr>
            <w:tcW w:w="1223" w:type="dxa"/>
          </w:tcPr>
          <w:p w:rsidR="008653B1" w:rsidRPr="005F7678" w:rsidP="005F7678" w14:paraId="1C7F76B2" w14:textId="77777777">
            <w:pPr>
              <w:pStyle w:val="BodytextAgency"/>
            </w:pPr>
            <w:r w:rsidRPr="005F7678">
              <w:rPr>
                <w:rFonts w:ascii="Verdana" w:hAnsi="Verdana"/>
              </w:rPr>
              <w:t>Product</w:t>
            </w:r>
          </w:p>
        </w:tc>
        <w:tc>
          <w:tcPr>
            <w:tcW w:w="5103" w:type="dxa"/>
          </w:tcPr>
          <w:p w:rsidR="008653B1" w:rsidRPr="005F7678" w:rsidP="005F7678" w14:paraId="60F944F5" w14:textId="77777777">
            <w:pPr>
              <w:pStyle w:val="BodytextAgency"/>
            </w:pPr>
            <w:r>
              <w:rPr>
                <w:rFonts w:ascii="Verdana" w:hAnsi="Verdana"/>
              </w:rPr>
              <w:t xml:space="preserve">MLT discussion </w:t>
            </w:r>
          </w:p>
        </w:tc>
        <w:tc>
          <w:tcPr>
            <w:tcW w:w="2008" w:type="dxa"/>
          </w:tcPr>
          <w:p w:rsidR="008653B1" w:rsidP="005F7678" w14:paraId="55D750FB" w14:textId="77777777">
            <w:pPr>
              <w:pStyle w:val="BodytextAgency"/>
            </w:pPr>
            <w:r>
              <w:rPr>
                <w:rFonts w:ascii="Verdana" w:hAnsi="Verdana"/>
              </w:rPr>
              <w:t xml:space="preserve">Additional </w:t>
            </w:r>
            <w:r w:rsidR="006D7DB1">
              <w:rPr>
                <w:rFonts w:ascii="Verdana" w:hAnsi="Verdana"/>
              </w:rPr>
              <w:t>Actions agreed</w:t>
            </w:r>
          </w:p>
        </w:tc>
      </w:tr>
      <w:tr w14:paraId="7A5848F2" w14:textId="77777777" w:rsidTr="001F6A82">
        <w:tblPrEx>
          <w:tblW w:w="0" w:type="auto"/>
          <w:tblLayout w:type="fixed"/>
          <w:tblCellMar>
            <w:top w:w="57" w:type="dxa"/>
            <w:bottom w:w="57" w:type="dxa"/>
          </w:tblCellMar>
          <w:tblLook w:val="04A0"/>
        </w:tblPrEx>
        <w:tc>
          <w:tcPr>
            <w:tcW w:w="1295" w:type="dxa"/>
            <w:vMerge w:val="restart"/>
          </w:tcPr>
          <w:p w:rsidR="008653B1" w:rsidRPr="005F7678" w:rsidP="00A505C1" w14:paraId="076414C2" w14:textId="77777777">
            <w:pPr>
              <w:pStyle w:val="BodytextAgency"/>
              <w:spacing w:after="120"/>
            </w:pPr>
            <w:r w:rsidRPr="005F7678">
              <w:t>25/11/2020</w:t>
            </w:r>
          </w:p>
        </w:tc>
        <w:tc>
          <w:tcPr>
            <w:tcW w:w="1223" w:type="dxa"/>
            <w:vMerge w:val="restart"/>
          </w:tcPr>
          <w:p w:rsidR="008653B1" w:rsidRPr="00A31069" w:rsidP="00A505C1" w14:paraId="257D14AB" w14:textId="77777777">
            <w:pPr>
              <w:pStyle w:val="BodytextAgency"/>
              <w:spacing w:after="120"/>
              <w:rPr>
                <w:b/>
                <w:bCs/>
              </w:rPr>
            </w:pPr>
            <w:r w:rsidRPr="00A31069">
              <w:rPr>
                <w:b/>
                <w:bCs/>
              </w:rPr>
              <w:t>COVID-19 mRNA Vaccine BioNTech</w:t>
            </w:r>
          </w:p>
        </w:tc>
        <w:tc>
          <w:tcPr>
            <w:tcW w:w="5103" w:type="dxa"/>
          </w:tcPr>
          <w:p w:rsidR="008653B1" w:rsidRPr="00EB6F80" w:rsidP="0016211E" w14:paraId="4A8EB4D2" w14:textId="77777777">
            <w:pPr>
              <w:pStyle w:val="BodytextAgency"/>
              <w:spacing w:after="120"/>
            </w:pPr>
            <w:r w:rsidRPr="00EB6F80">
              <w:t xml:space="preserve">MLT </w:t>
            </w:r>
            <w:r w:rsidRPr="00EB6F80" w:rsidR="009E3679">
              <w:t xml:space="preserve">looked at </w:t>
            </w:r>
            <w:r w:rsidRPr="00EB6F80">
              <w:t xml:space="preserve">the </w:t>
            </w:r>
            <w:r w:rsidRPr="00EB6F80">
              <w:rPr>
                <w:b/>
                <w:bCs/>
              </w:rPr>
              <w:t xml:space="preserve">main CMC concern of lower </w:t>
            </w:r>
            <w:r w:rsidRPr="00EB6F80" w:rsidR="00236260">
              <w:rPr>
                <w:b/>
                <w:bCs/>
              </w:rPr>
              <w:t xml:space="preserve">% </w:t>
            </w:r>
            <w:r w:rsidRPr="00EB6F80">
              <w:rPr>
                <w:b/>
                <w:bCs/>
              </w:rPr>
              <w:t>mRNA integrity</w:t>
            </w:r>
            <w:r w:rsidRPr="00EB6F80">
              <w:t xml:space="preserve"> </w:t>
            </w:r>
            <w:r w:rsidRPr="00EB6F80" w:rsidR="00236260">
              <w:t xml:space="preserve">levels </w:t>
            </w:r>
            <w:r w:rsidRPr="00EB6F80">
              <w:t xml:space="preserve">(full length mRNA), which were observed in commercial product batches </w:t>
            </w:r>
            <w:r w:rsidRPr="00EB6F80" w:rsidR="00236260">
              <w:t xml:space="preserve">as </w:t>
            </w:r>
            <w:r w:rsidRPr="00EB6F80">
              <w:t xml:space="preserve">compared to clinical batches and could have an impact on </w:t>
            </w:r>
            <w:r w:rsidRPr="00EB6F80" w:rsidR="00236260">
              <w:t xml:space="preserve">efficacy </w:t>
            </w:r>
            <w:r w:rsidRPr="00EB6F80" w:rsidR="009E3679">
              <w:t>and safety</w:t>
            </w:r>
            <w:r w:rsidRPr="00EB6F80">
              <w:t xml:space="preserve">. </w:t>
            </w:r>
            <w:r w:rsidRPr="00EB6F80" w:rsidR="00236260">
              <w:t xml:space="preserve">There is some indication that an adjustment of </w:t>
            </w:r>
            <w:r w:rsidRPr="00EB6F80">
              <w:t xml:space="preserve">the commercial manufacturing process </w:t>
            </w:r>
            <w:r w:rsidRPr="00EB6F80" w:rsidR="00236260">
              <w:t>may restore</w:t>
            </w:r>
            <w:r w:rsidRPr="00EB6F80">
              <w:t xml:space="preserve"> </w:t>
            </w:r>
            <w:r w:rsidRPr="00EB6F80" w:rsidR="00236260">
              <w:t>integrity levels</w:t>
            </w:r>
            <w:r w:rsidRPr="00EB6F80">
              <w:t xml:space="preserve"> </w:t>
            </w:r>
            <w:r w:rsidRPr="00EB6F80" w:rsidR="00236260">
              <w:t>to levels seen during</w:t>
            </w:r>
            <w:r w:rsidRPr="00EB6F80">
              <w:t xml:space="preserve"> clinical development, but questions remain on reproducibility</w:t>
            </w:r>
            <w:r w:rsidRPr="00EB6F80" w:rsidR="00236260">
              <w:t xml:space="preserve"> and further data are awaited</w:t>
            </w:r>
            <w:r w:rsidRPr="00EB6F80">
              <w:t>. Overall, provided all remaining issues are addressed, the currently available batches could be sufficient to support an EU marketing a</w:t>
            </w:r>
            <w:r w:rsidRPr="00EB6F80">
              <w:t>uthorisation</w:t>
            </w:r>
            <w:r w:rsidRPr="00EB6F80" w:rsidR="001D57CA">
              <w:t>.</w:t>
            </w:r>
            <w:r w:rsidRPr="00EB6F80">
              <w:t xml:space="preserve"> </w:t>
            </w:r>
            <w:r w:rsidRPr="00EB6F80" w:rsidR="001D57CA">
              <w:t>Remaining quality issues will be considered in the context of overall B/R including the possibility to request additional (qualification and performance evaluation) data post-authorisation</w:t>
            </w:r>
            <w:r w:rsidRPr="00BE18E0" w:rsidR="001D57CA">
              <w:t>.</w:t>
            </w:r>
          </w:p>
          <w:p w:rsidR="008653B1" w:rsidRPr="00EB6F80" w:rsidP="00A505C1" w14:paraId="5FBBA7D1" w14:textId="77777777">
            <w:pPr>
              <w:pStyle w:val="BodytextAgency"/>
              <w:spacing w:after="120"/>
            </w:pPr>
            <w:r w:rsidRPr="00EB6F80">
              <w:t>Timelines to obtain additional information are align</w:t>
            </w:r>
            <w:r w:rsidRPr="00EB6F80">
              <w:t xml:space="preserve">ed with a possible December opinion (see timetable below). MLT </w:t>
            </w:r>
            <w:r w:rsidRPr="00EB6F80" w:rsidR="009E3679">
              <w:t xml:space="preserve">stressed need for </w:t>
            </w:r>
            <w:r w:rsidRPr="00EB6F80">
              <w:t>lia</w:t>
            </w:r>
            <w:r w:rsidRPr="00EB6F80" w:rsidR="009E3679">
              <w:t>i</w:t>
            </w:r>
            <w:r w:rsidRPr="00EB6F80">
              <w:t>son with FDA to exchange views on the</w:t>
            </w:r>
            <w:r w:rsidRPr="00EB6F80" w:rsidR="009E3679">
              <w:t xml:space="preserve"> quality</w:t>
            </w:r>
            <w:r w:rsidRPr="00EB6F80">
              <w:t xml:space="preserve"> assessment.</w:t>
            </w:r>
          </w:p>
          <w:p w:rsidR="00426474" w:rsidRPr="00BE18E0" w:rsidP="00A505C1" w14:paraId="3D21DA5D" w14:textId="77777777">
            <w:pPr>
              <w:pStyle w:val="BodytextAgency"/>
              <w:spacing w:after="120"/>
              <w:rPr>
                <w:b/>
                <w:bCs/>
              </w:rPr>
            </w:pPr>
            <w:r w:rsidRPr="00BE18E0">
              <w:rPr>
                <w:b/>
                <w:bCs/>
              </w:rPr>
              <w:t>Post-meeting note</w:t>
            </w:r>
            <w:r w:rsidRPr="00BE18E0" w:rsidR="00EB6F80">
              <w:rPr>
                <w:b/>
                <w:bCs/>
              </w:rPr>
              <w:t xml:space="preserve"> (main points from TC with FDA/MHRA/Health Canada)</w:t>
            </w:r>
            <w:r w:rsidRPr="00BE18E0">
              <w:rPr>
                <w:b/>
                <w:bCs/>
              </w:rPr>
              <w:t xml:space="preserve">: </w:t>
            </w:r>
          </w:p>
          <w:p w:rsidR="00EB6F80" w:rsidRPr="00BE18E0" w:rsidP="00BE18E0" w14:paraId="56C2E8AB" w14:textId="77777777">
            <w:pPr>
              <w:pStyle w:val="BodytextAgency"/>
              <w:numPr>
                <w:ilvl w:val="0"/>
                <w:numId w:val="6"/>
              </w:numPr>
              <w:spacing w:after="120"/>
              <w:ind w:left="175" w:hanging="175"/>
            </w:pPr>
            <w:r w:rsidRPr="00BE18E0">
              <w:t>A</w:t>
            </w:r>
            <w:r w:rsidRPr="00BE18E0" w:rsidR="00426474">
              <w:t xml:space="preserve">dditional commercial lot data confirm restoration of mRNA integrity, giving reason for careful optimism with a view to an opinion in December. </w:t>
            </w:r>
          </w:p>
          <w:p w:rsidR="00EB6F80" w:rsidRPr="00BE18E0" w:rsidP="00BE18E0" w14:paraId="0E64BB85" w14:textId="77777777">
            <w:pPr>
              <w:pStyle w:val="BodytextAgency"/>
              <w:numPr>
                <w:ilvl w:val="0"/>
                <w:numId w:val="6"/>
              </w:numPr>
              <w:spacing w:after="120"/>
              <w:ind w:left="175" w:hanging="175"/>
              <w:rPr>
                <w:rFonts w:eastAsia="Times New Roman"/>
              </w:rPr>
            </w:pPr>
            <w:r w:rsidRPr="00BE18E0">
              <w:rPr>
                <w:rFonts w:eastAsia="Times New Roman"/>
              </w:rPr>
              <w:t xml:space="preserve">The concerns on increased immunogenicity due to the </w:t>
            </w:r>
            <w:r w:rsidRPr="00BE18E0">
              <w:t>mRNA</w:t>
            </w:r>
            <w:r w:rsidRPr="00BE18E0">
              <w:rPr>
                <w:rFonts w:eastAsia="Times New Roman"/>
              </w:rPr>
              <w:t xml:space="preserve"> i</w:t>
            </w:r>
            <w:r w:rsidRPr="00BE18E0">
              <w:rPr>
                <w:rFonts w:eastAsia="Times New Roman"/>
              </w:rPr>
              <w:t xml:space="preserve">ntegrity loss are deemed theoretical by </w:t>
            </w:r>
            <w:r w:rsidRPr="00BE18E0">
              <w:rPr>
                <w:rFonts w:eastAsia="Times New Roman"/>
              </w:rPr>
              <w:t>the international partners.</w:t>
            </w:r>
          </w:p>
          <w:p w:rsidR="00EB6F80" w:rsidRPr="00BE18E0" w:rsidP="00BE18E0" w14:paraId="497A9729" w14:textId="77777777">
            <w:pPr>
              <w:pStyle w:val="BodytextAgency"/>
              <w:numPr>
                <w:ilvl w:val="0"/>
                <w:numId w:val="6"/>
              </w:numPr>
              <w:spacing w:after="120"/>
              <w:ind w:left="175" w:hanging="175"/>
            </w:pPr>
            <w:r w:rsidRPr="00BE18E0">
              <w:t xml:space="preserve">Information was shared on </w:t>
            </w:r>
            <w:r w:rsidRPr="00BE18E0" w:rsidR="00426474">
              <w:t>a new emerging quality concern about visible particles to be investigated.</w:t>
            </w:r>
          </w:p>
          <w:p w:rsidR="00426474" w:rsidRPr="00BE18E0" w:rsidP="00BE18E0" w14:paraId="7F05E26C" w14:textId="77777777">
            <w:pPr>
              <w:pStyle w:val="BodytextAgency"/>
              <w:numPr>
                <w:ilvl w:val="0"/>
                <w:numId w:val="6"/>
              </w:numPr>
              <w:spacing w:after="120"/>
              <w:ind w:left="175" w:hanging="175"/>
            </w:pPr>
            <w:r w:rsidRPr="00BE18E0">
              <w:t>There is common interest to align the scientific assessment including quality control r</w:t>
            </w:r>
            <w:r w:rsidRPr="00BE18E0">
              <w:t xml:space="preserve">anges. </w:t>
            </w:r>
          </w:p>
        </w:tc>
        <w:tc>
          <w:tcPr>
            <w:tcW w:w="2008" w:type="dxa"/>
          </w:tcPr>
          <w:p w:rsidR="008653B1" w:rsidP="0016211E" w14:paraId="1FCC43F8" w14:textId="77777777">
            <w:pPr>
              <w:pStyle w:val="BodytextAgency"/>
              <w:spacing w:after="120"/>
            </w:pPr>
          </w:p>
        </w:tc>
      </w:tr>
      <w:tr w14:paraId="444EA341" w14:textId="77777777" w:rsidTr="001F6A82">
        <w:tblPrEx>
          <w:tblW w:w="0" w:type="auto"/>
          <w:tblLayout w:type="fixed"/>
          <w:tblCellMar>
            <w:top w:w="57" w:type="dxa"/>
            <w:bottom w:w="57" w:type="dxa"/>
          </w:tblCellMar>
          <w:tblLook w:val="04A0"/>
        </w:tblPrEx>
        <w:tc>
          <w:tcPr>
            <w:tcW w:w="1295" w:type="dxa"/>
            <w:vMerge/>
          </w:tcPr>
          <w:p w:rsidR="008653B1" w:rsidRPr="005F7678" w:rsidP="00A505C1" w14:paraId="27F37389" w14:textId="77777777">
            <w:pPr>
              <w:pStyle w:val="BodytextAgency"/>
              <w:spacing w:after="120"/>
            </w:pPr>
          </w:p>
        </w:tc>
        <w:tc>
          <w:tcPr>
            <w:tcW w:w="1223" w:type="dxa"/>
            <w:vMerge/>
          </w:tcPr>
          <w:p w:rsidR="008653B1" w:rsidRPr="00A31069" w:rsidP="00A505C1" w14:paraId="41A41FEB" w14:textId="77777777">
            <w:pPr>
              <w:pStyle w:val="BodytextAgency"/>
              <w:spacing w:after="120"/>
              <w:rPr>
                <w:b/>
                <w:bCs/>
              </w:rPr>
            </w:pPr>
          </w:p>
        </w:tc>
        <w:tc>
          <w:tcPr>
            <w:tcW w:w="5103" w:type="dxa"/>
          </w:tcPr>
          <w:p w:rsidR="008653B1" w:rsidP="003F065A" w14:paraId="50694958" w14:textId="77777777">
            <w:pPr>
              <w:pStyle w:val="BodytextAgency"/>
              <w:spacing w:after="120"/>
            </w:pPr>
            <w:r>
              <w:t xml:space="preserve">MLT noted that </w:t>
            </w:r>
            <w:r w:rsidRPr="003F065A">
              <w:rPr>
                <w:b/>
                <w:bCs/>
              </w:rPr>
              <w:t>distant GMP inspections</w:t>
            </w:r>
            <w:r>
              <w:t xml:space="preserve"> at 2 sites are ongoing. MLT </w:t>
            </w:r>
            <w:r w:rsidR="009E3679">
              <w:t>stressed need</w:t>
            </w:r>
            <w:r>
              <w:t xml:space="preserve"> </w:t>
            </w:r>
            <w:r w:rsidR="009E3679">
              <w:t xml:space="preserve">for </w:t>
            </w:r>
            <w:r>
              <w:t xml:space="preserve">EMA to closely liaise with the inspectors to learn about any emerging critical finding without delay. In absence of such finding a GMP compliance </w:t>
            </w:r>
            <w:r>
              <w:t>statement (albeit no GMP certificate) is expected to be available in time for a possible CHMP opinion in December.</w:t>
            </w:r>
          </w:p>
          <w:p w:rsidR="008653B1" w:rsidRPr="00A505C1" w:rsidP="003F065A" w14:paraId="722FA00A" w14:textId="77777777">
            <w:pPr>
              <w:pStyle w:val="BodytextAgency"/>
              <w:spacing w:after="120"/>
            </w:pPr>
            <w:r>
              <w:t xml:space="preserve">Furthermore, close interactions with the supervisory authorities and EC </w:t>
            </w:r>
            <w:r w:rsidR="009E3679">
              <w:t>are important</w:t>
            </w:r>
            <w:r>
              <w:t xml:space="preserve"> to ensure agreement on the approach to transfer drug pr</w:t>
            </w:r>
            <w:r>
              <w:t>oduct</w:t>
            </w:r>
            <w:r w:rsidRPr="006C370F">
              <w:t xml:space="preserve"> release and stability testing </w:t>
            </w:r>
            <w:r>
              <w:t xml:space="preserve">from the US </w:t>
            </w:r>
            <w:r w:rsidRPr="006C370F">
              <w:t xml:space="preserve">to </w:t>
            </w:r>
            <w:r>
              <w:t xml:space="preserve">the </w:t>
            </w:r>
            <w:r w:rsidRPr="006C370F">
              <w:t>EU</w:t>
            </w:r>
            <w:r>
              <w:t xml:space="preserve"> post-approval.</w:t>
            </w:r>
          </w:p>
        </w:tc>
        <w:tc>
          <w:tcPr>
            <w:tcW w:w="2008" w:type="dxa"/>
          </w:tcPr>
          <w:p w:rsidR="008653B1" w:rsidP="003F065A" w14:paraId="281B8F21" w14:textId="77777777">
            <w:pPr>
              <w:pStyle w:val="BodytextAgency"/>
              <w:spacing w:after="120"/>
            </w:pPr>
          </w:p>
        </w:tc>
      </w:tr>
      <w:tr w14:paraId="637E21B3" w14:textId="77777777" w:rsidTr="001F6A82">
        <w:tblPrEx>
          <w:tblW w:w="0" w:type="auto"/>
          <w:tblLayout w:type="fixed"/>
          <w:tblCellMar>
            <w:top w:w="57" w:type="dxa"/>
            <w:bottom w:w="57" w:type="dxa"/>
          </w:tblCellMar>
          <w:tblLook w:val="04A0"/>
        </w:tblPrEx>
        <w:tc>
          <w:tcPr>
            <w:tcW w:w="1295" w:type="dxa"/>
            <w:vMerge/>
          </w:tcPr>
          <w:p w:rsidR="008653B1" w:rsidRPr="005F7678" w:rsidP="00A505C1" w14:paraId="17D9CC48" w14:textId="77777777">
            <w:pPr>
              <w:pStyle w:val="BodytextAgency"/>
              <w:spacing w:after="120"/>
            </w:pPr>
          </w:p>
        </w:tc>
        <w:tc>
          <w:tcPr>
            <w:tcW w:w="1223" w:type="dxa"/>
            <w:vMerge/>
          </w:tcPr>
          <w:p w:rsidR="008653B1" w:rsidRPr="00A31069" w:rsidP="00A505C1" w14:paraId="197EAD91" w14:textId="77777777">
            <w:pPr>
              <w:pStyle w:val="BodytextAgency"/>
              <w:spacing w:after="120"/>
              <w:rPr>
                <w:b/>
                <w:bCs/>
              </w:rPr>
            </w:pPr>
          </w:p>
        </w:tc>
        <w:tc>
          <w:tcPr>
            <w:tcW w:w="5103" w:type="dxa"/>
          </w:tcPr>
          <w:p w:rsidR="008653B1" w:rsidRPr="00A505C1" w:rsidP="00A505C1" w14:paraId="2BD54B20" w14:textId="77777777">
            <w:pPr>
              <w:pStyle w:val="BodytextAgency"/>
              <w:spacing w:after="120"/>
            </w:pPr>
            <w:r>
              <w:t>MLT was informed of the anticipated</w:t>
            </w:r>
            <w:r w:rsidRPr="00A505C1">
              <w:t xml:space="preserve"> </w:t>
            </w:r>
            <w:r w:rsidRPr="00A505C1">
              <w:rPr>
                <w:b/>
                <w:bCs/>
              </w:rPr>
              <w:t>PIP decision</w:t>
            </w:r>
            <w:r w:rsidRPr="00A505C1">
              <w:t xml:space="preserve"> by </w:t>
            </w:r>
            <w:r>
              <w:t>27</w:t>
            </w:r>
            <w:r w:rsidRPr="00A505C1">
              <w:t xml:space="preserve"> Nov</w:t>
            </w:r>
            <w:r>
              <w:t xml:space="preserve"> 2020</w:t>
            </w:r>
            <w:r w:rsidRPr="00A505C1">
              <w:t xml:space="preserve">. </w:t>
            </w:r>
            <w:r w:rsidR="009E3679">
              <w:t>No issue escalated at this stage.</w:t>
            </w:r>
          </w:p>
        </w:tc>
        <w:tc>
          <w:tcPr>
            <w:tcW w:w="2008" w:type="dxa"/>
          </w:tcPr>
          <w:p w:rsidR="008653B1" w:rsidP="00A505C1" w14:paraId="30AFCDFD" w14:textId="77777777">
            <w:pPr>
              <w:pStyle w:val="BodytextAgency"/>
              <w:spacing w:after="120"/>
            </w:pPr>
          </w:p>
        </w:tc>
      </w:tr>
      <w:tr w14:paraId="2022D988" w14:textId="77777777" w:rsidTr="001F6A82">
        <w:tblPrEx>
          <w:tblW w:w="0" w:type="auto"/>
          <w:tblLayout w:type="fixed"/>
          <w:tblCellMar>
            <w:top w:w="57" w:type="dxa"/>
            <w:bottom w:w="57" w:type="dxa"/>
          </w:tblCellMar>
          <w:tblLook w:val="04A0"/>
        </w:tblPrEx>
        <w:tc>
          <w:tcPr>
            <w:tcW w:w="1295" w:type="dxa"/>
            <w:vMerge/>
          </w:tcPr>
          <w:p w:rsidR="008653B1" w:rsidRPr="005F7678" w:rsidP="00A505C1" w14:paraId="78DFB21B" w14:textId="77777777">
            <w:pPr>
              <w:pStyle w:val="BodytextAgency"/>
              <w:spacing w:after="120"/>
            </w:pPr>
          </w:p>
        </w:tc>
        <w:tc>
          <w:tcPr>
            <w:tcW w:w="1223" w:type="dxa"/>
            <w:vMerge/>
          </w:tcPr>
          <w:p w:rsidR="008653B1" w:rsidRPr="00A31069" w:rsidP="00A505C1" w14:paraId="38C0AD18" w14:textId="77777777">
            <w:pPr>
              <w:pStyle w:val="BodytextAgency"/>
              <w:spacing w:after="120"/>
              <w:rPr>
                <w:b/>
                <w:bCs/>
              </w:rPr>
            </w:pPr>
          </w:p>
        </w:tc>
        <w:tc>
          <w:tcPr>
            <w:tcW w:w="5103" w:type="dxa"/>
          </w:tcPr>
          <w:p w:rsidR="008653B1" w:rsidRPr="00A31069" w:rsidP="00A505C1" w14:paraId="52BD5227" w14:textId="77777777">
            <w:pPr>
              <w:pStyle w:val="BodytextAgency"/>
              <w:spacing w:after="120"/>
            </w:pPr>
            <w:r w:rsidRPr="00A31069">
              <w:t xml:space="preserve">MLT was informed of the </w:t>
            </w:r>
            <w:r w:rsidRPr="00A31069">
              <w:rPr>
                <w:b/>
                <w:bCs/>
              </w:rPr>
              <w:t xml:space="preserve">December evaluation </w:t>
            </w:r>
            <w:r>
              <w:fldChar w:fldCharType="begin"/>
            </w:r>
            <w:r>
              <w:instrText xml:space="preserve"> HYPERLINK "https://docs.eudra.org/webtop/drl/objectId/090142b284b6c2a3" </w:instrText>
            </w:r>
            <w:r>
              <w:fldChar w:fldCharType="separate"/>
            </w:r>
            <w:r w:rsidRPr="00D779CE">
              <w:rPr>
                <w:rStyle w:val="Hyperlink"/>
                <w:b/>
                <w:bCs/>
              </w:rPr>
              <w:t>timetable</w:t>
            </w:r>
            <w:r>
              <w:fldChar w:fldCharType="end"/>
            </w:r>
            <w:r w:rsidRPr="00A31069">
              <w:t xml:space="preserve"> (TT)</w:t>
            </w:r>
            <w:r>
              <w:t xml:space="preserve"> providing for a possible CHMP Opinion prior to the holidays, i.e. by December 22</w:t>
            </w:r>
            <w:r>
              <w:rPr>
                <w:vertAlign w:val="superscript"/>
              </w:rPr>
              <w:t>nd</w:t>
            </w:r>
            <w:r>
              <w:t>.</w:t>
            </w:r>
          </w:p>
        </w:tc>
        <w:tc>
          <w:tcPr>
            <w:tcW w:w="2008" w:type="dxa"/>
          </w:tcPr>
          <w:p w:rsidR="008653B1" w:rsidRPr="00A31069" w:rsidP="00A505C1" w14:paraId="4405733E" w14:textId="77777777">
            <w:pPr>
              <w:pStyle w:val="BodytextAgency"/>
              <w:spacing w:after="120"/>
            </w:pPr>
          </w:p>
        </w:tc>
      </w:tr>
      <w:tr w14:paraId="77F25C42" w14:textId="77777777" w:rsidTr="001F6A82">
        <w:tblPrEx>
          <w:tblW w:w="0" w:type="auto"/>
          <w:tblLayout w:type="fixed"/>
          <w:tblCellMar>
            <w:top w:w="57" w:type="dxa"/>
            <w:bottom w:w="57" w:type="dxa"/>
          </w:tblCellMar>
          <w:tblLook w:val="04A0"/>
        </w:tblPrEx>
        <w:tc>
          <w:tcPr>
            <w:tcW w:w="1295" w:type="dxa"/>
            <w:vMerge w:val="restart"/>
          </w:tcPr>
          <w:p w:rsidR="008653B1" w:rsidRPr="005F7678" w:rsidP="00A505C1" w14:paraId="73FFFF3C" w14:textId="77777777">
            <w:pPr>
              <w:pStyle w:val="BodytextAgency"/>
              <w:spacing w:after="120"/>
            </w:pPr>
            <w:r>
              <w:t>25/11/2020</w:t>
            </w:r>
          </w:p>
        </w:tc>
        <w:tc>
          <w:tcPr>
            <w:tcW w:w="1223" w:type="dxa"/>
            <w:vMerge w:val="restart"/>
          </w:tcPr>
          <w:p w:rsidR="008653B1" w:rsidRPr="00A31069" w:rsidP="00A505C1" w14:paraId="3EEF8FEA" w14:textId="77777777">
            <w:pPr>
              <w:pStyle w:val="BodytextAgency"/>
              <w:spacing w:after="120"/>
              <w:rPr>
                <w:b/>
                <w:bCs/>
              </w:rPr>
            </w:pPr>
            <w:r w:rsidRPr="00D779CE">
              <w:rPr>
                <w:b/>
                <w:bCs/>
              </w:rPr>
              <w:t>mRNA vaccine-1273 vaccine Moderna</w:t>
            </w:r>
          </w:p>
        </w:tc>
        <w:tc>
          <w:tcPr>
            <w:tcW w:w="5103" w:type="dxa"/>
          </w:tcPr>
          <w:p w:rsidR="008653B1" w:rsidRPr="00A31069" w:rsidP="00447197" w14:paraId="0770EC3D" w14:textId="77777777">
            <w:pPr>
              <w:pStyle w:val="BodytextAgency"/>
              <w:spacing w:after="120"/>
            </w:pPr>
            <w:r>
              <w:t xml:space="preserve">MLT noted the ongoing </w:t>
            </w:r>
            <w:r w:rsidRPr="004153D2">
              <w:rPr>
                <w:b/>
                <w:bCs/>
              </w:rPr>
              <w:t xml:space="preserve">distant GMP </w:t>
            </w:r>
            <w:r w:rsidRPr="004153D2">
              <w:rPr>
                <w:b/>
                <w:bCs/>
              </w:rPr>
              <w:t>inspection</w:t>
            </w:r>
            <w:r>
              <w:t xml:space="preserve"> of the US manufacturing site, which also performs some of the release testing for finished product</w:t>
            </w:r>
            <w:r w:rsidRPr="004153D2">
              <w:t xml:space="preserve"> </w:t>
            </w:r>
            <w:r>
              <w:t xml:space="preserve">manufactured in the EU. MLT </w:t>
            </w:r>
            <w:r w:rsidR="009E3679">
              <w:t xml:space="preserve">stressed need for </w:t>
            </w:r>
            <w:r>
              <w:t xml:space="preserve"> close</w:t>
            </w:r>
            <w:r>
              <w:t xml:space="preserve"> interactions with the supervisory authority. In absence of critical findings, a GMP compliance statement (albeit no GMP certificate) is expected to be available in time for a possible CHMP opinion in December.</w:t>
            </w:r>
          </w:p>
        </w:tc>
        <w:tc>
          <w:tcPr>
            <w:tcW w:w="2008" w:type="dxa"/>
          </w:tcPr>
          <w:p w:rsidR="008653B1" w:rsidP="00447197" w14:paraId="122386AD" w14:textId="77777777">
            <w:pPr>
              <w:pStyle w:val="BodytextAgency"/>
              <w:spacing w:after="120"/>
            </w:pPr>
          </w:p>
        </w:tc>
      </w:tr>
      <w:tr w14:paraId="0452BB16" w14:textId="77777777" w:rsidTr="001F6A82">
        <w:tblPrEx>
          <w:tblW w:w="0" w:type="auto"/>
          <w:tblLayout w:type="fixed"/>
          <w:tblCellMar>
            <w:top w:w="57" w:type="dxa"/>
            <w:bottom w:w="57" w:type="dxa"/>
          </w:tblCellMar>
          <w:tblLook w:val="04A0"/>
        </w:tblPrEx>
        <w:tc>
          <w:tcPr>
            <w:tcW w:w="1295" w:type="dxa"/>
            <w:vMerge/>
          </w:tcPr>
          <w:p w:rsidR="008653B1" w:rsidP="00A505C1" w14:paraId="27CA3FC5" w14:textId="77777777">
            <w:pPr>
              <w:pStyle w:val="BodytextAgency"/>
              <w:spacing w:after="120"/>
            </w:pPr>
          </w:p>
        </w:tc>
        <w:tc>
          <w:tcPr>
            <w:tcW w:w="1223" w:type="dxa"/>
            <w:vMerge/>
          </w:tcPr>
          <w:p w:rsidR="008653B1" w:rsidRPr="00A31069" w:rsidP="00A505C1" w14:paraId="14FD42B5" w14:textId="77777777">
            <w:pPr>
              <w:pStyle w:val="BodytextAgency"/>
              <w:spacing w:after="120"/>
              <w:rPr>
                <w:b/>
                <w:bCs/>
              </w:rPr>
            </w:pPr>
          </w:p>
        </w:tc>
        <w:tc>
          <w:tcPr>
            <w:tcW w:w="5103" w:type="dxa"/>
          </w:tcPr>
          <w:p w:rsidR="008653B1" w:rsidP="00A505C1" w14:paraId="52F4E0EF" w14:textId="77777777">
            <w:pPr>
              <w:pStyle w:val="BodytextAgency"/>
              <w:spacing w:after="120"/>
            </w:pPr>
            <w:r>
              <w:t xml:space="preserve">The PDCO </w:t>
            </w:r>
            <w:r w:rsidR="003D49A7">
              <w:t>is further accelerating</w:t>
            </w:r>
            <w:r>
              <w:t xml:space="preserve"> their rapid review of the</w:t>
            </w:r>
            <w:r w:rsidRPr="00737E8B">
              <w:t xml:space="preserve"> </w:t>
            </w:r>
            <w:r w:rsidRPr="00A505C1">
              <w:rPr>
                <w:b/>
                <w:bCs/>
              </w:rPr>
              <w:t xml:space="preserve">PIP </w:t>
            </w:r>
            <w:r w:rsidR="003D49A7">
              <w:t xml:space="preserve">to </w:t>
            </w:r>
            <w:r w:rsidRPr="00447197">
              <w:t>adop</w:t>
            </w:r>
            <w:r>
              <w:t>t an opinion</w:t>
            </w:r>
            <w:r w:rsidRPr="00447197">
              <w:t xml:space="preserve"> by end of November 2020 (in time for filing of MAA). </w:t>
            </w:r>
            <w:r>
              <w:t>However, d</w:t>
            </w:r>
            <w:r w:rsidRPr="00447197">
              <w:t xml:space="preserve">ifficulties have been encountered in the communication with the company, </w:t>
            </w:r>
            <w:r>
              <w:t xml:space="preserve">who </w:t>
            </w:r>
            <w:r w:rsidRPr="00447197">
              <w:t xml:space="preserve">voiced disagreement with certain aspects of the PDCO </w:t>
            </w:r>
            <w:r w:rsidRPr="00447197">
              <w:t xml:space="preserve">opinion. </w:t>
            </w:r>
            <w:r w:rsidR="003D49A7">
              <w:t xml:space="preserve">It was noted that this company has started engaging late into the PIP agreement process. </w:t>
            </w:r>
            <w:r>
              <w:t>The p</w:t>
            </w:r>
            <w:r w:rsidRPr="00447197">
              <w:t xml:space="preserve">roduct team will reach out to company who </w:t>
            </w:r>
            <w:r>
              <w:t xml:space="preserve">has limited experience with the EU </w:t>
            </w:r>
            <w:r>
              <w:t>regulatory system</w:t>
            </w:r>
            <w:r w:rsidRPr="00447197">
              <w:t>.</w:t>
            </w:r>
            <w:r w:rsidR="003D49A7">
              <w:t xml:space="preserve"> </w:t>
            </w:r>
          </w:p>
          <w:p w:rsidR="008653B1" w:rsidRPr="00A31069" w:rsidP="00A505C1" w14:paraId="17662018" w14:textId="77777777">
            <w:pPr>
              <w:pStyle w:val="BodytextAgency"/>
              <w:spacing w:after="120"/>
            </w:pPr>
          </w:p>
        </w:tc>
        <w:tc>
          <w:tcPr>
            <w:tcW w:w="2008" w:type="dxa"/>
          </w:tcPr>
          <w:p w:rsidR="008653B1" w:rsidP="00A505C1" w14:paraId="43EA0871" w14:textId="77777777">
            <w:pPr>
              <w:pStyle w:val="BodytextAgency"/>
              <w:spacing w:after="120"/>
            </w:pPr>
            <w:r w:rsidRPr="00447197">
              <w:t xml:space="preserve">PPO to review pipeline to identify </w:t>
            </w:r>
            <w:r>
              <w:t>other planned</w:t>
            </w:r>
            <w:r w:rsidR="003D49A7">
              <w:t xml:space="preserve"> MA</w:t>
            </w:r>
            <w:r>
              <w:t xml:space="preserve"> app</w:t>
            </w:r>
            <w:r>
              <w:t xml:space="preserve">lications </w:t>
            </w:r>
            <w:r w:rsidR="003D49A7">
              <w:t xml:space="preserve"> where developers need to be guided to </w:t>
            </w:r>
            <w:r w:rsidR="00DD44B3">
              <w:t xml:space="preserve">accelerate </w:t>
            </w:r>
            <w:r w:rsidR="003D49A7">
              <w:t xml:space="preserve">engagement on the PIP </w:t>
            </w:r>
            <w:r w:rsidR="00DD44B3">
              <w:t>agreement</w:t>
            </w:r>
          </w:p>
        </w:tc>
      </w:tr>
      <w:tr w14:paraId="1B631D40" w14:textId="77777777" w:rsidTr="001F6A82">
        <w:tblPrEx>
          <w:tblW w:w="0" w:type="auto"/>
          <w:tblLayout w:type="fixed"/>
          <w:tblCellMar>
            <w:top w:w="57" w:type="dxa"/>
            <w:bottom w:w="57" w:type="dxa"/>
          </w:tblCellMar>
          <w:tblLook w:val="04A0"/>
        </w:tblPrEx>
        <w:tc>
          <w:tcPr>
            <w:tcW w:w="1295" w:type="dxa"/>
            <w:vMerge/>
          </w:tcPr>
          <w:p w:rsidR="008653B1" w:rsidP="00D779CE" w14:paraId="74DFDAE9" w14:textId="77777777">
            <w:pPr>
              <w:pStyle w:val="BodytextAgency"/>
              <w:spacing w:after="120"/>
            </w:pPr>
          </w:p>
        </w:tc>
        <w:tc>
          <w:tcPr>
            <w:tcW w:w="1223" w:type="dxa"/>
            <w:vMerge/>
          </w:tcPr>
          <w:p w:rsidR="008653B1" w:rsidRPr="00A31069" w:rsidP="00D779CE" w14:paraId="4ADE0505" w14:textId="77777777">
            <w:pPr>
              <w:pStyle w:val="BodytextAgency"/>
              <w:spacing w:after="120"/>
              <w:rPr>
                <w:b/>
                <w:bCs/>
              </w:rPr>
            </w:pPr>
          </w:p>
        </w:tc>
        <w:tc>
          <w:tcPr>
            <w:tcW w:w="5103" w:type="dxa"/>
          </w:tcPr>
          <w:p w:rsidR="008653B1" w:rsidRPr="00A31069" w:rsidP="00D779CE" w14:paraId="42736BB4" w14:textId="77777777">
            <w:pPr>
              <w:pStyle w:val="BodytextAgency"/>
              <w:spacing w:after="120"/>
            </w:pPr>
            <w:r w:rsidRPr="00A31069">
              <w:t xml:space="preserve">MLT was informed of the </w:t>
            </w:r>
            <w:r w:rsidRPr="00A31069">
              <w:rPr>
                <w:b/>
                <w:bCs/>
              </w:rPr>
              <w:t xml:space="preserve">December evaluation </w:t>
            </w:r>
            <w:r>
              <w:fldChar w:fldCharType="begin"/>
            </w:r>
            <w:r>
              <w:instrText xml:space="preserve"> HYPERLINK "https://docs.eudra.org/webtop/drl/objectId/090142b284b631fb" </w:instrText>
            </w:r>
            <w:r>
              <w:fldChar w:fldCharType="separate"/>
            </w:r>
            <w:r w:rsidRPr="00D779CE">
              <w:rPr>
                <w:rStyle w:val="Hyperlink"/>
                <w:b/>
                <w:bCs/>
              </w:rPr>
              <w:t>timetable</w:t>
            </w:r>
            <w:r>
              <w:fldChar w:fldCharType="end"/>
            </w:r>
            <w:r w:rsidRPr="00A31069">
              <w:t xml:space="preserve"> (TT)</w:t>
            </w:r>
            <w:r>
              <w:t xml:space="preserve"> providing for a possible C</w:t>
            </w:r>
            <w:r>
              <w:t>HMP Opinion prior to the holidays, i.e. by December 22</w:t>
            </w:r>
            <w:r>
              <w:rPr>
                <w:vertAlign w:val="superscript"/>
              </w:rPr>
              <w:t>nd</w:t>
            </w:r>
            <w:r>
              <w:t>.</w:t>
            </w:r>
          </w:p>
        </w:tc>
        <w:tc>
          <w:tcPr>
            <w:tcW w:w="2008" w:type="dxa"/>
          </w:tcPr>
          <w:p w:rsidR="008653B1" w:rsidRPr="00A31069" w:rsidP="00D779CE" w14:paraId="60F7BEE4" w14:textId="77777777">
            <w:pPr>
              <w:pStyle w:val="BodytextAgency"/>
              <w:spacing w:after="120"/>
            </w:pPr>
          </w:p>
        </w:tc>
      </w:tr>
      <w:tr w14:paraId="422D3A1C" w14:textId="77777777" w:rsidTr="001F6A82">
        <w:tblPrEx>
          <w:tblW w:w="0" w:type="auto"/>
          <w:tblLayout w:type="fixed"/>
          <w:tblCellMar>
            <w:top w:w="57" w:type="dxa"/>
            <w:bottom w:w="57" w:type="dxa"/>
          </w:tblCellMar>
          <w:tblLook w:val="04A0"/>
        </w:tblPrEx>
        <w:tc>
          <w:tcPr>
            <w:tcW w:w="1295" w:type="dxa"/>
          </w:tcPr>
          <w:p w:rsidR="008653B1" w:rsidP="00D779CE" w14:paraId="4465F3B8" w14:textId="77777777">
            <w:pPr>
              <w:pStyle w:val="BodytextAgency"/>
              <w:spacing w:after="120"/>
            </w:pPr>
            <w:r>
              <w:t>25/11/2020</w:t>
            </w:r>
          </w:p>
        </w:tc>
        <w:tc>
          <w:tcPr>
            <w:tcW w:w="1223" w:type="dxa"/>
          </w:tcPr>
          <w:p w:rsidR="008653B1" w:rsidRPr="00A31069" w:rsidP="00D779CE" w14:paraId="1643C106" w14:textId="77777777">
            <w:pPr>
              <w:pStyle w:val="BodytextAgency"/>
              <w:spacing w:after="120"/>
              <w:rPr>
                <w:b/>
                <w:bCs/>
              </w:rPr>
            </w:pPr>
            <w:r w:rsidRPr="004E2884">
              <w:rPr>
                <w:b/>
                <w:bCs/>
              </w:rPr>
              <w:t>COVID-19 Oxford-AstraZeneca Vaccine</w:t>
            </w:r>
          </w:p>
        </w:tc>
        <w:tc>
          <w:tcPr>
            <w:tcW w:w="5103" w:type="dxa"/>
          </w:tcPr>
          <w:p w:rsidR="008653B1" w:rsidRPr="00A31069" w:rsidP="00D779CE" w14:paraId="4050BB3A" w14:textId="77777777">
            <w:pPr>
              <w:pStyle w:val="BodytextAgency"/>
              <w:spacing w:after="120"/>
            </w:pPr>
            <w:r w:rsidRPr="00423953">
              <w:t xml:space="preserve">Progress has been made in liaising with Brazilian authorities to obtain as much information as possible from </w:t>
            </w:r>
            <w:r w:rsidRPr="00423953">
              <w:rPr>
                <w:b/>
                <w:bCs/>
              </w:rPr>
              <w:t>GCP inspections</w:t>
            </w:r>
            <w:r w:rsidRPr="00423953">
              <w:t xml:space="preserve"> </w:t>
            </w:r>
            <w:r>
              <w:t>performed at local sites with u</w:t>
            </w:r>
            <w:r w:rsidRPr="00E60595">
              <w:t>nknown compliance history</w:t>
            </w:r>
            <w:r>
              <w:t xml:space="preserve">, who also participated in the pivotal clinical trial for AstraZeneca vaccine. MLT welcomed the collaboration put in place which will allow to identify any early flags and be helpful in the event that any issue should arise </w:t>
            </w:r>
            <w:r w:rsidRPr="00423953">
              <w:t>during the EU MAA.</w:t>
            </w:r>
          </w:p>
        </w:tc>
        <w:tc>
          <w:tcPr>
            <w:tcW w:w="2008" w:type="dxa"/>
          </w:tcPr>
          <w:p w:rsidR="008653B1" w:rsidRPr="00423953" w:rsidP="00D779CE" w14:paraId="742B74D0" w14:textId="77777777">
            <w:pPr>
              <w:pStyle w:val="BodytextAgency"/>
              <w:spacing w:after="120"/>
            </w:pPr>
          </w:p>
        </w:tc>
      </w:tr>
    </w:tbl>
    <w:p w:rsidR="00773674" w:rsidP="006E778D" w14:paraId="5C1B2966" w14:textId="77777777">
      <w:pPr>
        <w:pStyle w:val="BodytextAgency"/>
        <w:rPr>
          <w:bCs/>
        </w:rPr>
      </w:pPr>
    </w:p>
    <w:p w:rsidR="006C370F" w:rsidRPr="006C370F" w:rsidP="006E778D" w14:paraId="1910171B" w14:textId="77777777">
      <w:pPr>
        <w:pStyle w:val="BodytextAgency"/>
        <w:rPr>
          <w:bCs/>
          <w:u w:val="single"/>
        </w:rPr>
      </w:pPr>
    </w:p>
    <w:sectPr w:rsidSect="006E778D">
      <w:headerReference w:type="even" r:id="rId4"/>
      <w:headerReference w:type="default" r:id="rId5"/>
      <w:footerReference w:type="even" r:id="rId6"/>
      <w:footerReference w:type="default" r:id="rId7"/>
      <w:headerReference w:type="first" r:id="rId8"/>
      <w:footerReference w:type="first" r:id="rId9"/>
      <w:pgSz w:w="11907" w:h="16839" w:code="9"/>
      <w:pgMar w:top="1418" w:right="1247" w:bottom="1418" w:left="1247" w:header="284" w:footer="68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ngsuhChe">
    <w:charset w:val="81"/>
    <w:family w:val="modern"/>
    <w:pitch w:val="fixed"/>
    <w:sig w:usb0="B00002AF" w:usb1="69D77CFB" w:usb2="00000030" w:usb3="00000000" w:csb0="0008009F" w:csb1="00000000"/>
  </w:font>
  <w:font w:name="DaunPenh">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778D" w14:paraId="0ECCC4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778D" w14:paraId="2B6D9B0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Layout w:type="fixed"/>
      <w:tblLook w:val="01E0"/>
    </w:tblPr>
    <w:tblGrid>
      <w:gridCol w:w="6206"/>
      <w:gridCol w:w="3207"/>
    </w:tblGrid>
    <w:tr w14:paraId="434AF9FD" w14:textId="77777777">
      <w:tblPrEx>
        <w:tblW w:w="5000" w:type="pct"/>
        <w:tblLayout w:type="fixed"/>
        <w:tblLook w:val="01E0"/>
      </w:tblPrEx>
      <w:tc>
        <w:tcPr>
          <w:tcW w:w="9413" w:type="dxa"/>
          <w:gridSpan w:val="2"/>
          <w:tcBorders>
            <w:top w:val="single" w:sz="2" w:space="0" w:color="auto"/>
            <w:left w:val="nil"/>
            <w:bottom w:val="nil"/>
            <w:right w:val="nil"/>
            <w:tl2br w:val="nil"/>
            <w:tr2bl w:val="nil"/>
          </w:tcBorders>
          <w:shd w:val="clear" w:color="auto" w:fill="auto"/>
          <w:tcMar>
            <w:left w:w="0" w:type="dxa"/>
            <w:right w:w="0" w:type="dxa"/>
          </w:tcMar>
          <w:vAlign w:val="bottom"/>
        </w:tcPr>
        <w:p w:rsidR="006E778D" w:rsidRPr="00A44B87" w14:paraId="49830B07" w14:textId="77777777">
          <w:pPr>
            <w:pStyle w:val="FooterAgency"/>
          </w:pPr>
        </w:p>
      </w:tc>
    </w:tr>
    <w:tr w14:paraId="061B862B" w14:textId="77777777">
      <w:tblPrEx>
        <w:tblW w:w="5000" w:type="pct"/>
        <w:tblLayout w:type="fixed"/>
        <w:tblLook w:val="01E0"/>
      </w:tblPrEx>
      <w:trPr>
        <w:trHeight w:hRule="exact" w:val="198"/>
      </w:trPr>
      <w:tc>
        <w:tcPr>
          <w:tcW w:w="6206" w:type="dxa"/>
          <w:shd w:val="clear" w:color="auto" w:fill="auto"/>
          <w:tcMar>
            <w:left w:w="0" w:type="dxa"/>
            <w:right w:w="0" w:type="dxa"/>
          </w:tcMar>
          <w:vAlign w:val="bottom"/>
        </w:tcPr>
        <w:p w:rsidR="006E778D" w:rsidRPr="003A07BE" w14:paraId="2E652EB6" w14:textId="77777777">
          <w:pPr>
            <w:pStyle w:val="FooterAgency"/>
          </w:pPr>
          <w:r>
            <w:t>30 Churchill Place</w:t>
          </w:r>
          <w:r w:rsidRPr="003A07BE">
            <w:t xml:space="preserve"> </w:t>
          </w:r>
          <w:r w:rsidRPr="00696743">
            <w:rPr>
              <w:rStyle w:val="FooterblueAgencyCharChar"/>
            </w:rPr>
            <w:t>●</w:t>
          </w:r>
          <w:r w:rsidRPr="003A07BE">
            <w:t xml:space="preserve"> Canary Wharf </w:t>
          </w:r>
          <w:r w:rsidRPr="00696743">
            <w:rPr>
              <w:rStyle w:val="FooterblueAgencyCharChar"/>
            </w:rPr>
            <w:t>●</w:t>
          </w:r>
          <w:r w:rsidRPr="003A07BE">
            <w:t xml:space="preserve"> London E14 </w:t>
          </w:r>
          <w:r>
            <w:t>5EU</w:t>
          </w:r>
          <w:r w:rsidRPr="003A07BE">
            <w:t xml:space="preserve"> </w:t>
          </w:r>
          <w:r w:rsidRPr="00696743">
            <w:rPr>
              <w:rStyle w:val="FooterblueAgencyCharChar"/>
            </w:rPr>
            <w:t>●</w:t>
          </w:r>
          <w:r w:rsidRPr="003A07BE">
            <w:t xml:space="preserve"> United Kingdom</w:t>
          </w:r>
        </w:p>
      </w:tc>
      <w:tc>
        <w:tcPr>
          <w:tcW w:w="3207" w:type="dxa"/>
          <w:vMerge w:val="restart"/>
          <w:shd w:val="clear" w:color="auto" w:fill="auto"/>
          <w:tcMar>
            <w:left w:w="0" w:type="dxa"/>
            <w:right w:w="0" w:type="dxa"/>
          </w:tcMar>
          <w:vAlign w:val="bottom"/>
        </w:tcPr>
        <w:tbl>
          <w:tblPr>
            <w:tblW w:w="0" w:type="auto"/>
            <w:jc w:val="right"/>
            <w:tblLayout w:type="fixed"/>
            <w:tblLook w:val="01E0"/>
          </w:tblPr>
          <w:tblGrid>
            <w:gridCol w:w="2478"/>
            <w:gridCol w:w="709"/>
          </w:tblGrid>
          <w:tr w14:paraId="5ECB5C41" w14:textId="77777777">
            <w:tblPrEx>
              <w:tblW w:w="0" w:type="auto"/>
              <w:jc w:val="right"/>
              <w:tblLayout w:type="fixed"/>
              <w:tblLook w:val="01E0"/>
            </w:tblPrEx>
            <w:trPr>
              <w:trHeight w:val="180"/>
              <w:tblHeader/>
              <w:jc w:val="right"/>
            </w:trPr>
            <w:tc>
              <w:tcPr>
                <w:tcW w:w="2478" w:type="dxa"/>
                <w:vMerge w:val="restart"/>
                <w:tcBorders>
                  <w:top w:val="nil"/>
                  <w:left w:val="nil"/>
                  <w:bottom w:val="nil"/>
                  <w:right w:val="nil"/>
                  <w:tl2br w:val="nil"/>
                  <w:tr2bl w:val="nil"/>
                </w:tcBorders>
                <w:shd w:val="clear" w:color="auto" w:fill="auto"/>
                <w:vAlign w:val="bottom"/>
              </w:tcPr>
              <w:p w:rsidR="006E778D" w:rsidRPr="00A44B87" w14:paraId="7ABDC0C0" w14:textId="77777777">
                <w:pPr>
                  <w:pStyle w:val="FooterAgency"/>
                  <w:jc w:val="right"/>
                </w:pPr>
                <w:r w:rsidRPr="00390AC0">
                  <w:rPr>
                    <w:sz w:val="11"/>
                    <w:szCs w:val="11"/>
                  </w:rPr>
                  <w:t xml:space="preserve">An agency of the European Union  </w:t>
                </w:r>
              </w:p>
            </w:tc>
            <w:tc>
              <w:tcPr>
                <w:tcW w:w="709" w:type="dxa"/>
                <w:vMerge w:val="restart"/>
                <w:tcBorders>
                  <w:top w:val="nil"/>
                  <w:left w:val="nil"/>
                  <w:bottom w:val="nil"/>
                  <w:right w:val="nil"/>
                  <w:tl2br w:val="nil"/>
                  <w:tr2bl w:val="nil"/>
                </w:tcBorders>
                <w:shd w:val="clear" w:color="auto" w:fill="auto"/>
                <w:tcMar>
                  <w:right w:w="6" w:type="dxa"/>
                </w:tcMar>
                <w:vAlign w:val="bottom"/>
              </w:tcPr>
              <w:p w:rsidR="006E778D" w:rsidRPr="00A44B87" w14:paraId="5C986E46" w14:textId="77777777">
                <w:pPr>
                  <w:pStyle w:val="FooterAgency"/>
                  <w:jc w:val="right"/>
                </w:pPr>
                <w:r>
                  <w:rPr>
                    <w:noProof/>
                  </w:rPr>
                  <w:drawing>
                    <wp:inline distT="0" distB="0" distL="0" distR="0">
                      <wp:extent cx="389890" cy="270510"/>
                      <wp:effectExtent l="0" t="0" r="0" b="0"/>
                      <wp:docPr id="2" name="Picture 2" descr="EU Logo"/>
                      <wp:cNvGraphicFramePr/>
                      <a:graphic xmlns:a="http://schemas.openxmlformats.org/drawingml/2006/main">
                        <a:graphicData uri="http://schemas.openxmlformats.org/drawingml/2006/picture">
                          <pic:pic xmlns:pic="http://schemas.openxmlformats.org/drawingml/2006/picture">
                            <pic:nvPicPr>
                              <pic:cNvPr id="1153849505" name="Picture 1" descr="EU Logo"/>
                              <pic:cNvPicPr>
                                <a:picLocks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9890" cy="270510"/>
                              </a:xfrm>
                              <a:prstGeom prst="rect">
                                <a:avLst/>
                              </a:prstGeom>
                              <a:noFill/>
                              <a:ln>
                                <a:noFill/>
                              </a:ln>
                            </pic:spPr>
                          </pic:pic>
                        </a:graphicData>
                      </a:graphic>
                    </wp:inline>
                  </w:drawing>
                </w:r>
              </w:p>
            </w:tc>
          </w:tr>
          <w:tr w14:paraId="04014E81" w14:textId="77777777">
            <w:tblPrEx>
              <w:tblW w:w="0" w:type="auto"/>
              <w:jc w:val="right"/>
              <w:tblLayout w:type="fixed"/>
              <w:tblLook w:val="01E0"/>
            </w:tblPrEx>
            <w:trPr>
              <w:trHeight w:val="390"/>
              <w:jc w:val="right"/>
            </w:trPr>
            <w:tc>
              <w:tcPr>
                <w:tcW w:w="2478" w:type="dxa"/>
                <w:vMerge/>
                <w:shd w:val="clear" w:color="auto" w:fill="auto"/>
              </w:tcPr>
              <w:p w:rsidR="006E778D" w:rsidRPr="00A44B87" w14:paraId="3A9F07E0" w14:textId="77777777">
                <w:pPr>
                  <w:pStyle w:val="FooterAgency"/>
                </w:pPr>
              </w:p>
            </w:tc>
            <w:tc>
              <w:tcPr>
                <w:tcW w:w="709" w:type="dxa"/>
                <w:vMerge/>
                <w:shd w:val="clear" w:color="auto" w:fill="auto"/>
              </w:tcPr>
              <w:p w:rsidR="006E778D" w:rsidRPr="00A44B87" w14:paraId="01FDE330" w14:textId="77777777">
                <w:pPr>
                  <w:pStyle w:val="FooterAgency"/>
                </w:pPr>
              </w:p>
            </w:tc>
          </w:tr>
        </w:tbl>
        <w:p w:rsidR="006E778D" w:rsidRPr="00A44B87" w14:paraId="412D68D5" w14:textId="77777777">
          <w:pPr>
            <w:pStyle w:val="FooterAgency"/>
            <w:widowControl w:val="0"/>
            <w:adjustRightInd w:val="0"/>
            <w:jc w:val="right"/>
          </w:pPr>
        </w:p>
      </w:tc>
    </w:tr>
    <w:tr w14:paraId="7F0BB84B" w14:textId="77777777">
      <w:tblPrEx>
        <w:tblW w:w="5000" w:type="pct"/>
        <w:tblLayout w:type="fixed"/>
        <w:tblLook w:val="01E0"/>
      </w:tblPrEx>
      <w:trPr>
        <w:trHeight w:val="390"/>
      </w:trPr>
      <w:tc>
        <w:tcPr>
          <w:tcW w:w="6206" w:type="dxa"/>
          <w:shd w:val="clear" w:color="auto" w:fill="auto"/>
          <w:tcMar>
            <w:left w:w="0" w:type="dxa"/>
            <w:right w:w="0" w:type="dxa"/>
          </w:tcMar>
          <w:vAlign w:val="bottom"/>
        </w:tcPr>
        <w:tbl>
          <w:tblPr>
            <w:tblW w:w="0" w:type="auto"/>
            <w:tblLayout w:type="fixed"/>
            <w:tblCellMar>
              <w:left w:w="0" w:type="dxa"/>
              <w:right w:w="0" w:type="dxa"/>
            </w:tblCellMar>
            <w:tblLook w:val="01E0"/>
          </w:tblPr>
          <w:tblGrid>
            <w:gridCol w:w="840"/>
            <w:gridCol w:w="1648"/>
            <w:gridCol w:w="726"/>
            <w:gridCol w:w="2767"/>
          </w:tblGrid>
          <w:tr w14:paraId="138D2785" w14:textId="77777777">
            <w:tblPrEx>
              <w:tblW w:w="0" w:type="auto"/>
              <w:tblLayout w:type="fixed"/>
              <w:tblCellMar>
                <w:left w:w="0" w:type="dxa"/>
                <w:right w:w="0" w:type="dxa"/>
              </w:tblCellMar>
              <w:tblLook w:val="01E0"/>
            </w:tblPrEx>
            <w:trPr>
              <w:trHeight w:hRule="exact" w:val="198"/>
            </w:trPr>
            <w:tc>
              <w:tcPr>
                <w:tcW w:w="840" w:type="dxa"/>
                <w:vAlign w:val="bottom"/>
              </w:tcPr>
              <w:p w:rsidR="006E778D" w:rsidRPr="003A07BE" w14:paraId="68F6DF28" w14:textId="77777777">
                <w:pPr>
                  <w:pStyle w:val="FooterblueAgency"/>
                </w:pPr>
                <w:r w:rsidRPr="003A07BE">
                  <w:t>Telephone</w:t>
                </w:r>
              </w:p>
            </w:tc>
            <w:tc>
              <w:tcPr>
                <w:tcW w:w="1648" w:type="dxa"/>
                <w:vAlign w:val="bottom"/>
              </w:tcPr>
              <w:p w:rsidR="006E778D" w:rsidRPr="003A07BE" w14:paraId="61DC02EE" w14:textId="77777777">
                <w:pPr>
                  <w:pStyle w:val="FooterAgency"/>
                </w:pPr>
                <w:r w:rsidRPr="003A07BE">
                  <w:t xml:space="preserve">+44 (0)20 </w:t>
                </w:r>
                <w:r>
                  <w:t>3660</w:t>
                </w:r>
                <w:r w:rsidRPr="003A07BE">
                  <w:t xml:space="preserve"> </w:t>
                </w:r>
                <w:r>
                  <w:t>6000</w:t>
                </w:r>
              </w:p>
            </w:tc>
            <w:tc>
              <w:tcPr>
                <w:tcW w:w="726" w:type="dxa"/>
                <w:vAlign w:val="bottom"/>
              </w:tcPr>
              <w:p w:rsidR="006E778D" w:rsidRPr="003A07BE" w14:paraId="506958E6" w14:textId="77777777">
                <w:pPr>
                  <w:pStyle w:val="FooterblueAgency"/>
                </w:pPr>
                <w:r w:rsidRPr="003A07BE">
                  <w:t>Facsimile</w:t>
                </w:r>
              </w:p>
            </w:tc>
            <w:tc>
              <w:tcPr>
                <w:tcW w:w="2767" w:type="dxa"/>
                <w:vAlign w:val="bottom"/>
              </w:tcPr>
              <w:p w:rsidR="006E778D" w:rsidRPr="003A07BE" w14:paraId="748453BB" w14:textId="77777777">
                <w:pPr>
                  <w:pStyle w:val="FooterAgency"/>
                </w:pPr>
                <w:r w:rsidRPr="003A07BE">
                  <w:t xml:space="preserve">+44 (0)20 </w:t>
                </w:r>
                <w:r>
                  <w:t>3660 5555</w:t>
                </w:r>
              </w:p>
            </w:tc>
          </w:tr>
          <w:tr w14:paraId="777BCE8D" w14:textId="77777777">
            <w:tblPrEx>
              <w:tblW w:w="0" w:type="auto"/>
              <w:tblLayout w:type="fixed"/>
              <w:tblCellMar>
                <w:left w:w="0" w:type="dxa"/>
                <w:right w:w="0" w:type="dxa"/>
              </w:tblCellMar>
              <w:tblLook w:val="01E0"/>
            </w:tblPrEx>
            <w:trPr>
              <w:trHeight w:hRule="exact" w:val="198"/>
            </w:trPr>
            <w:tc>
              <w:tcPr>
                <w:tcW w:w="5981" w:type="dxa"/>
                <w:gridSpan w:val="4"/>
                <w:vAlign w:val="bottom"/>
              </w:tcPr>
              <w:p w:rsidR="006E778D" w:rsidRPr="00584092" w14:paraId="2931D316" w14:textId="77777777">
                <w:pPr>
                  <w:pStyle w:val="FooterAgency"/>
                </w:pPr>
                <w:r w:rsidRPr="00584092">
                  <w:rPr>
                    <w:rStyle w:val="FooterblueAgencyCharChar"/>
                  </w:rPr>
                  <w:t>Send a question via our website</w:t>
                </w:r>
                <w:r w:rsidRPr="00584092">
                  <w:t xml:space="preserve"> www.ema.europa.eu/contact</w:t>
                </w:r>
              </w:p>
            </w:tc>
          </w:tr>
        </w:tbl>
        <w:p w:rsidR="006E778D" w:rsidRPr="003A07BE" w14:paraId="63AFF613" w14:textId="77777777">
          <w:pPr>
            <w:pStyle w:val="FooterAgency"/>
          </w:pPr>
        </w:p>
      </w:tc>
      <w:tc>
        <w:tcPr>
          <w:tcW w:w="3207" w:type="dxa"/>
          <w:vMerge/>
          <w:shd w:val="clear" w:color="auto" w:fill="auto"/>
          <w:tcMar>
            <w:left w:w="0" w:type="dxa"/>
            <w:right w:w="0" w:type="dxa"/>
          </w:tcMar>
          <w:vAlign w:val="bottom"/>
        </w:tcPr>
        <w:p w:rsidR="006E778D" w:rsidRPr="00A44B87" w14:paraId="708024AB" w14:textId="77777777">
          <w:pPr>
            <w:pStyle w:val="FooterAgency"/>
          </w:pPr>
        </w:p>
      </w:tc>
    </w:tr>
    <w:tr w14:paraId="37A75553" w14:textId="77777777">
      <w:tblPrEx>
        <w:tblW w:w="5000" w:type="pct"/>
        <w:tblLayout w:type="fixed"/>
        <w:tblLook w:val="01E0"/>
      </w:tblPrEx>
      <w:tc>
        <w:tcPr>
          <w:tcW w:w="9413" w:type="dxa"/>
          <w:gridSpan w:val="2"/>
          <w:shd w:val="clear" w:color="auto" w:fill="auto"/>
          <w:tcMar>
            <w:left w:w="0" w:type="dxa"/>
            <w:right w:w="0" w:type="dxa"/>
          </w:tcMar>
          <w:vAlign w:val="bottom"/>
        </w:tcPr>
        <w:p w:rsidR="006E778D" w:rsidRPr="00A44B87" w14:paraId="7FA9FEF7" w14:textId="77777777">
          <w:pPr>
            <w:pStyle w:val="FooterAgency"/>
          </w:pPr>
        </w:p>
      </w:tc>
    </w:tr>
    <w:tr w14:paraId="57E5CBC7" w14:textId="77777777">
      <w:tblPrEx>
        <w:tblW w:w="5000" w:type="pct"/>
        <w:tblLayout w:type="fixed"/>
        <w:tblLook w:val="01E0"/>
      </w:tblPrEx>
      <w:tc>
        <w:tcPr>
          <w:tcW w:w="9413" w:type="dxa"/>
          <w:gridSpan w:val="2"/>
          <w:shd w:val="clear" w:color="auto" w:fill="auto"/>
          <w:tcMar>
            <w:left w:w="0" w:type="dxa"/>
            <w:right w:w="0" w:type="dxa"/>
          </w:tcMar>
          <w:vAlign w:val="bottom"/>
        </w:tcPr>
        <w:p w:rsidR="006E778D" w:rsidRPr="00CE789B" w14:paraId="298113EA" w14:textId="77777777">
          <w:pPr>
            <w:pStyle w:val="FooterAgency"/>
            <w:jc w:val="center"/>
          </w:pPr>
          <w:r w:rsidRPr="00CE789B">
            <w:t xml:space="preserve">© European Medicines Agency, </w:t>
          </w:r>
          <w:r>
            <w:fldChar w:fldCharType="begin"/>
          </w:r>
          <w:r>
            <w:instrText xml:space="preserve"> DATE  \@ "yyyy"  \* MERGEFORMAT </w:instrText>
          </w:r>
          <w:r>
            <w:fldChar w:fldCharType="separate"/>
          </w:r>
          <w:r w:rsidR="00235718">
            <w:rPr>
              <w:noProof/>
            </w:rPr>
            <w:t>2020</w:t>
          </w:r>
          <w:r>
            <w:fldChar w:fldCharType="end"/>
          </w:r>
          <w:r w:rsidRPr="00CE789B">
            <w:t>. Reproduction is authorised provided the source is acknowledged.</w:t>
          </w:r>
        </w:p>
      </w:tc>
    </w:tr>
  </w:tbl>
  <w:p w:rsidR="006E778D" w:rsidP="006E778D" w14:paraId="25C76DFB" w14:textId="77777777">
    <w:pPr>
      <w:pStyle w:val="FooterAgency"/>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778D" w14:paraId="546A3AC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778D" w14:paraId="252370D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778D" w:rsidP="006E778D" w14:paraId="21F33109" w14:textId="77777777">
    <w:pPr>
      <w:pStyle w:val="FooterAgency"/>
      <w:jc w:val="center"/>
    </w:pPr>
    <w:r>
      <w:rPr>
        <w:noProof/>
      </w:rPr>
      <w:drawing>
        <wp:inline distT="0" distB="0" distL="0" distR="0">
          <wp:extent cx="3558671" cy="1799451"/>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869039416" name=""/>
                  <pic:cNvPicPr/>
                </pic:nvPicPr>
                <pic:blipFill>
                  <a:blip xmlns:r="http://schemas.openxmlformats.org/officeDocument/2006/relationships" r:embed="rId1"/>
                  <a:stretch>
                    <a:fillRect/>
                  </a:stretch>
                </pic:blipFill>
                <pic:spPr>
                  <a:xfrm>
                    <a:off x="0" y="0"/>
                    <a:ext cx="3558671" cy="17994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AE5DDC"/>
    <w:multiLevelType w:val="hybridMultilevel"/>
    <w:tmpl w:val="2258DC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firstLine="0"/>
      </w:pPr>
      <w:rPr>
        <w:rFonts w:hint="default"/>
      </w:rPr>
    </w:lvl>
    <w:lvl w:ilvl="3">
      <w:start w:val="1"/>
      <w:numFmt w:val="none"/>
      <w:lvlJc w:val="left"/>
      <w:pPr>
        <w:tabs>
          <w:tab w:val="num" w:pos="720"/>
        </w:tabs>
        <w:ind w:left="720" w:firstLine="0"/>
      </w:pPr>
      <w:rPr>
        <w:rFonts w:hint="default"/>
      </w:rPr>
    </w:lvl>
    <w:lvl w:ilvl="4">
      <w:start w:val="1"/>
      <w:numFmt w:val="none"/>
      <w:lvlJc w:val="left"/>
      <w:pPr>
        <w:tabs>
          <w:tab w:val="num" w:pos="720"/>
        </w:tabs>
        <w:ind w:left="720" w:firstLine="0"/>
      </w:pPr>
      <w:rPr>
        <w:rFonts w:hint="default"/>
      </w:rPr>
    </w:lvl>
    <w:lvl w:ilvl="5">
      <w:start w:val="1"/>
      <w:numFmt w:val="none"/>
      <w:lvlJc w:val="left"/>
      <w:pPr>
        <w:tabs>
          <w:tab w:val="num" w:pos="720"/>
        </w:tabs>
        <w:ind w:left="720" w:firstLine="0"/>
      </w:pPr>
      <w:rPr>
        <w:rFonts w:hint="default"/>
      </w:rPr>
    </w:lvl>
    <w:lvl w:ilvl="6">
      <w:start w:val="1"/>
      <w:numFmt w:val="none"/>
      <w:lvlJc w:val="left"/>
      <w:pPr>
        <w:tabs>
          <w:tab w:val="num" w:pos="720"/>
        </w:tabs>
        <w:ind w:left="720" w:firstLine="0"/>
      </w:pPr>
      <w:rPr>
        <w:rFonts w:hint="default"/>
      </w:rPr>
    </w:lvl>
    <w:lvl w:ilvl="7">
      <w:start w:val="1"/>
      <w:numFmt w:val="none"/>
      <w:lvlJc w:val="left"/>
      <w:pPr>
        <w:tabs>
          <w:tab w:val="num" w:pos="720"/>
        </w:tabs>
        <w:ind w:left="720" w:firstLine="0"/>
      </w:pPr>
      <w:rPr>
        <w:rFonts w:hint="default"/>
      </w:rPr>
    </w:lvl>
    <w:lvl w:ilvl="8">
      <w:start w:val="1"/>
      <w:numFmt w:val="none"/>
      <w:lvlJc w:val="left"/>
      <w:pPr>
        <w:tabs>
          <w:tab w:val="num" w:pos="720"/>
        </w:tabs>
        <w:ind w:left="720" w:firstLine="0"/>
      </w:pPr>
      <w:rPr>
        <w:rFonts w:hint="default"/>
      </w:rPr>
    </w:lvl>
  </w:abstractNum>
  <w:abstractNum w:abstractNumId="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DEE6FBB"/>
    <w:multiLevelType w:val="multilevel"/>
    <w:tmpl w:val="55C28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cap="rnd">
          <w14:noFill/>
          <w14:bevel/>
        </w14:textOutline>
      </w:rPr>
    </w:lvl>
    <w:lvl w:ilvl="2">
      <w:start w:val="1"/>
      <w:numFmt w:val="none"/>
      <w:lvlJc w:val="left"/>
      <w:pPr>
        <w:tabs>
          <w:tab w:val="num" w:pos="964"/>
        </w:tabs>
        <w:ind w:left="964" w:hanging="607"/>
      </w:pPr>
      <w:rPr>
        <w:rFonts w:hint="default"/>
      </w:rPr>
    </w:lvl>
    <w:lvl w:ilvl="3">
      <w:start w:val="1"/>
      <w:numFmt w:val="none"/>
      <w:lvlJc w:val="left"/>
      <w:pPr>
        <w:tabs>
          <w:tab w:val="num" w:pos="964"/>
        </w:tabs>
        <w:ind w:left="964" w:hanging="607"/>
      </w:pPr>
      <w:rPr>
        <w:rFonts w:hint="default"/>
      </w:rPr>
    </w:lvl>
    <w:lvl w:ilvl="4">
      <w:start w:val="1"/>
      <w:numFmt w:val="none"/>
      <w:lvlJc w:val="left"/>
      <w:pPr>
        <w:tabs>
          <w:tab w:val="num" w:pos="964"/>
        </w:tabs>
        <w:ind w:left="964" w:hanging="607"/>
      </w:pPr>
      <w:rPr>
        <w:rFonts w:hint="default"/>
      </w:rPr>
    </w:lvl>
    <w:lvl w:ilvl="5">
      <w:start w:val="1"/>
      <w:numFmt w:val="none"/>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Jc w:val="left"/>
      <w:pPr>
        <w:tabs>
          <w:tab w:val="num" w:pos="964"/>
        </w:tabs>
        <w:ind w:left="964" w:hanging="607"/>
      </w:pPr>
      <w:rPr>
        <w:rFonts w:hint="default"/>
      </w:rPr>
    </w:lvl>
    <w:lvl w:ilvl="8">
      <w:start w:val="1"/>
      <w:numFmt w:val="none"/>
      <w:lvlJc w:val="left"/>
      <w:pPr>
        <w:tabs>
          <w:tab w:val="num" w:pos="964"/>
        </w:tabs>
        <w:ind w:left="964" w:hanging="607"/>
      </w:pPr>
      <w:rPr>
        <w:rFonts w:hint="default"/>
      </w:rPr>
    </w:lvl>
  </w:abstractNum>
  <w:abstractNum w:abstractNumId="6">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704" w:allStyles="0" w:alternateStyleNames="0" w:clearFormatting="1" w:customStyles="0" w:directFormattingOnNumbering="1" w:directFormattingOnParagraphs="1" w:directFormattingOnRuns="1" w:directFormattingOnTables="0" w:headingStyles="0" w:latentStyles="1" w:numberingStyles="0" w:stylesInUse="0" w:tableStyles="0" w:top3HeadingStyles="0" w:visibleStyles="1"/>
  <w:defaultTabStop w:val="720"/>
  <w:drawingGridHorizontalSpacing w:val="9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CCE"/>
    <w:rsid w:val="0001787D"/>
    <w:rsid w:val="00023266"/>
    <w:rsid w:val="00024462"/>
    <w:rsid w:val="000461DF"/>
    <w:rsid w:val="0005071E"/>
    <w:rsid w:val="00055D2B"/>
    <w:rsid w:val="0005730E"/>
    <w:rsid w:val="00066B15"/>
    <w:rsid w:val="000707FD"/>
    <w:rsid w:val="00095ED0"/>
    <w:rsid w:val="000B1CCC"/>
    <w:rsid w:val="000C6FC0"/>
    <w:rsid w:val="000D0BED"/>
    <w:rsid w:val="000D3DAC"/>
    <w:rsid w:val="000E7292"/>
    <w:rsid w:val="000F29E0"/>
    <w:rsid w:val="001114E5"/>
    <w:rsid w:val="00112AC7"/>
    <w:rsid w:val="001407F0"/>
    <w:rsid w:val="00144208"/>
    <w:rsid w:val="001443BB"/>
    <w:rsid w:val="00156627"/>
    <w:rsid w:val="00161C0F"/>
    <w:rsid w:val="0016211E"/>
    <w:rsid w:val="001715B2"/>
    <w:rsid w:val="00172652"/>
    <w:rsid w:val="0017699A"/>
    <w:rsid w:val="00176D42"/>
    <w:rsid w:val="001856FF"/>
    <w:rsid w:val="001C74D6"/>
    <w:rsid w:val="001C76A4"/>
    <w:rsid w:val="001D57CA"/>
    <w:rsid w:val="001D5CA1"/>
    <w:rsid w:val="001E37FC"/>
    <w:rsid w:val="001E4565"/>
    <w:rsid w:val="001F163E"/>
    <w:rsid w:val="001F28C1"/>
    <w:rsid w:val="001F5E50"/>
    <w:rsid w:val="001F65E3"/>
    <w:rsid w:val="001F6A82"/>
    <w:rsid w:val="001F7466"/>
    <w:rsid w:val="00202613"/>
    <w:rsid w:val="00205CC0"/>
    <w:rsid w:val="00206017"/>
    <w:rsid w:val="0021571D"/>
    <w:rsid w:val="00220322"/>
    <w:rsid w:val="00221B07"/>
    <w:rsid w:val="002228DE"/>
    <w:rsid w:val="0022453D"/>
    <w:rsid w:val="00226FC5"/>
    <w:rsid w:val="0023409C"/>
    <w:rsid w:val="00235718"/>
    <w:rsid w:val="00236260"/>
    <w:rsid w:val="00236984"/>
    <w:rsid w:val="00243AF0"/>
    <w:rsid w:val="00251FA3"/>
    <w:rsid w:val="002642A0"/>
    <w:rsid w:val="00267C9F"/>
    <w:rsid w:val="002A6988"/>
    <w:rsid w:val="002C0FEB"/>
    <w:rsid w:val="002C7A62"/>
    <w:rsid w:val="002D39DB"/>
    <w:rsid w:val="002D6CCD"/>
    <w:rsid w:val="002D7502"/>
    <w:rsid w:val="002E1659"/>
    <w:rsid w:val="002E7ADC"/>
    <w:rsid w:val="003161F7"/>
    <w:rsid w:val="00317857"/>
    <w:rsid w:val="00321A33"/>
    <w:rsid w:val="00322A5B"/>
    <w:rsid w:val="00326266"/>
    <w:rsid w:val="003301E3"/>
    <w:rsid w:val="00340F22"/>
    <w:rsid w:val="0034267A"/>
    <w:rsid w:val="00363C39"/>
    <w:rsid w:val="00371BE7"/>
    <w:rsid w:val="00383243"/>
    <w:rsid w:val="00390AC0"/>
    <w:rsid w:val="00392530"/>
    <w:rsid w:val="00395133"/>
    <w:rsid w:val="003960DB"/>
    <w:rsid w:val="003A07BE"/>
    <w:rsid w:val="003B5E35"/>
    <w:rsid w:val="003C20EA"/>
    <w:rsid w:val="003D2280"/>
    <w:rsid w:val="003D49A7"/>
    <w:rsid w:val="003D5D68"/>
    <w:rsid w:val="003D7165"/>
    <w:rsid w:val="003D73BD"/>
    <w:rsid w:val="003E04D7"/>
    <w:rsid w:val="003F065A"/>
    <w:rsid w:val="003F0C10"/>
    <w:rsid w:val="003F18A7"/>
    <w:rsid w:val="00407B51"/>
    <w:rsid w:val="00412B59"/>
    <w:rsid w:val="004144B8"/>
    <w:rsid w:val="004153D2"/>
    <w:rsid w:val="00423953"/>
    <w:rsid w:val="004261EA"/>
    <w:rsid w:val="00426474"/>
    <w:rsid w:val="00431C17"/>
    <w:rsid w:val="00443531"/>
    <w:rsid w:val="00447197"/>
    <w:rsid w:val="00457249"/>
    <w:rsid w:val="0045739C"/>
    <w:rsid w:val="00462F12"/>
    <w:rsid w:val="00472D0A"/>
    <w:rsid w:val="004734FB"/>
    <w:rsid w:val="00484899"/>
    <w:rsid w:val="00485568"/>
    <w:rsid w:val="004A5089"/>
    <w:rsid w:val="004C195A"/>
    <w:rsid w:val="004C425A"/>
    <w:rsid w:val="004C7BF5"/>
    <w:rsid w:val="004E1076"/>
    <w:rsid w:val="004E2884"/>
    <w:rsid w:val="005015A0"/>
    <w:rsid w:val="005116B0"/>
    <w:rsid w:val="00513659"/>
    <w:rsid w:val="00517C89"/>
    <w:rsid w:val="00522203"/>
    <w:rsid w:val="00537D69"/>
    <w:rsid w:val="00547B66"/>
    <w:rsid w:val="00565897"/>
    <w:rsid w:val="00574E06"/>
    <w:rsid w:val="0058003F"/>
    <w:rsid w:val="005806B9"/>
    <w:rsid w:val="005837A4"/>
    <w:rsid w:val="00584092"/>
    <w:rsid w:val="00585874"/>
    <w:rsid w:val="005A49FA"/>
    <w:rsid w:val="005B6350"/>
    <w:rsid w:val="005B6B08"/>
    <w:rsid w:val="005C2FE8"/>
    <w:rsid w:val="005D23D0"/>
    <w:rsid w:val="005E39DB"/>
    <w:rsid w:val="005E42E6"/>
    <w:rsid w:val="005F06FE"/>
    <w:rsid w:val="005F1861"/>
    <w:rsid w:val="005F7678"/>
    <w:rsid w:val="006023A4"/>
    <w:rsid w:val="0060354F"/>
    <w:rsid w:val="00606B64"/>
    <w:rsid w:val="00607BDB"/>
    <w:rsid w:val="00611E4C"/>
    <w:rsid w:val="0063181B"/>
    <w:rsid w:val="00634FFF"/>
    <w:rsid w:val="00637BF3"/>
    <w:rsid w:val="00656E4F"/>
    <w:rsid w:val="00696743"/>
    <w:rsid w:val="006A3F3E"/>
    <w:rsid w:val="006A6AFD"/>
    <w:rsid w:val="006C370F"/>
    <w:rsid w:val="006C4FCC"/>
    <w:rsid w:val="006D103F"/>
    <w:rsid w:val="006D400E"/>
    <w:rsid w:val="006D7DB1"/>
    <w:rsid w:val="006E2A36"/>
    <w:rsid w:val="006E778D"/>
    <w:rsid w:val="006F2D95"/>
    <w:rsid w:val="00704608"/>
    <w:rsid w:val="00704B4A"/>
    <w:rsid w:val="00705E5D"/>
    <w:rsid w:val="00707193"/>
    <w:rsid w:val="00710B87"/>
    <w:rsid w:val="0071441B"/>
    <w:rsid w:val="00717B48"/>
    <w:rsid w:val="00727FB2"/>
    <w:rsid w:val="007338C8"/>
    <w:rsid w:val="00737E8B"/>
    <w:rsid w:val="00747718"/>
    <w:rsid w:val="00754815"/>
    <w:rsid w:val="0076224C"/>
    <w:rsid w:val="00773674"/>
    <w:rsid w:val="00780EAB"/>
    <w:rsid w:val="00784282"/>
    <w:rsid w:val="007849BF"/>
    <w:rsid w:val="00796BF6"/>
    <w:rsid w:val="007A29C4"/>
    <w:rsid w:val="007A2DA4"/>
    <w:rsid w:val="007A67E8"/>
    <w:rsid w:val="007A6B96"/>
    <w:rsid w:val="007A71FE"/>
    <w:rsid w:val="007A7443"/>
    <w:rsid w:val="007C7947"/>
    <w:rsid w:val="007C7A16"/>
    <w:rsid w:val="007D2319"/>
    <w:rsid w:val="007D306E"/>
    <w:rsid w:val="007D3977"/>
    <w:rsid w:val="007D4153"/>
    <w:rsid w:val="007D470B"/>
    <w:rsid w:val="007E28C3"/>
    <w:rsid w:val="007E5D9B"/>
    <w:rsid w:val="007E7F4E"/>
    <w:rsid w:val="007F03B2"/>
    <w:rsid w:val="00803E5E"/>
    <w:rsid w:val="00820E72"/>
    <w:rsid w:val="00821341"/>
    <w:rsid w:val="00823607"/>
    <w:rsid w:val="00835590"/>
    <w:rsid w:val="00836039"/>
    <w:rsid w:val="008473E3"/>
    <w:rsid w:val="008653B1"/>
    <w:rsid w:val="00877445"/>
    <w:rsid w:val="00894073"/>
    <w:rsid w:val="008B00F8"/>
    <w:rsid w:val="008B3733"/>
    <w:rsid w:val="008B49B2"/>
    <w:rsid w:val="008C3DCC"/>
    <w:rsid w:val="008C6EFC"/>
    <w:rsid w:val="008D187F"/>
    <w:rsid w:val="008D2DCC"/>
    <w:rsid w:val="008D4738"/>
    <w:rsid w:val="009049A1"/>
    <w:rsid w:val="00906EB3"/>
    <w:rsid w:val="009151CD"/>
    <w:rsid w:val="00936869"/>
    <w:rsid w:val="009376A5"/>
    <w:rsid w:val="00943728"/>
    <w:rsid w:val="009522D0"/>
    <w:rsid w:val="0096498B"/>
    <w:rsid w:val="009663A3"/>
    <w:rsid w:val="009677B4"/>
    <w:rsid w:val="009758B4"/>
    <w:rsid w:val="00985A60"/>
    <w:rsid w:val="00986272"/>
    <w:rsid w:val="0099000A"/>
    <w:rsid w:val="00991261"/>
    <w:rsid w:val="00991C2D"/>
    <w:rsid w:val="00997CCE"/>
    <w:rsid w:val="009A25C6"/>
    <w:rsid w:val="009A2F35"/>
    <w:rsid w:val="009A4BA4"/>
    <w:rsid w:val="009C16BB"/>
    <w:rsid w:val="009C20CB"/>
    <w:rsid w:val="009C6E7A"/>
    <w:rsid w:val="009E2339"/>
    <w:rsid w:val="009E3679"/>
    <w:rsid w:val="00A0204D"/>
    <w:rsid w:val="00A20FB4"/>
    <w:rsid w:val="00A231BE"/>
    <w:rsid w:val="00A262F3"/>
    <w:rsid w:val="00A30B18"/>
    <w:rsid w:val="00A31069"/>
    <w:rsid w:val="00A33B9E"/>
    <w:rsid w:val="00A40DDB"/>
    <w:rsid w:val="00A44B87"/>
    <w:rsid w:val="00A505C1"/>
    <w:rsid w:val="00A5075A"/>
    <w:rsid w:val="00A50A89"/>
    <w:rsid w:val="00A5194D"/>
    <w:rsid w:val="00A62844"/>
    <w:rsid w:val="00A71EBE"/>
    <w:rsid w:val="00A77866"/>
    <w:rsid w:val="00A778FC"/>
    <w:rsid w:val="00A93E7B"/>
    <w:rsid w:val="00AD030F"/>
    <w:rsid w:val="00AE1013"/>
    <w:rsid w:val="00AE108D"/>
    <w:rsid w:val="00AE49E2"/>
    <w:rsid w:val="00AF35E8"/>
    <w:rsid w:val="00B108E2"/>
    <w:rsid w:val="00B1404B"/>
    <w:rsid w:val="00B31845"/>
    <w:rsid w:val="00B35483"/>
    <w:rsid w:val="00B405D2"/>
    <w:rsid w:val="00B43E2E"/>
    <w:rsid w:val="00B533CB"/>
    <w:rsid w:val="00B61690"/>
    <w:rsid w:val="00B61B48"/>
    <w:rsid w:val="00B62CFA"/>
    <w:rsid w:val="00B636AF"/>
    <w:rsid w:val="00B64A05"/>
    <w:rsid w:val="00B86107"/>
    <w:rsid w:val="00B900FF"/>
    <w:rsid w:val="00B91AA1"/>
    <w:rsid w:val="00BA4CDA"/>
    <w:rsid w:val="00BA69AC"/>
    <w:rsid w:val="00BB7C0C"/>
    <w:rsid w:val="00BE18E0"/>
    <w:rsid w:val="00BF16DD"/>
    <w:rsid w:val="00BF73F3"/>
    <w:rsid w:val="00C01AFE"/>
    <w:rsid w:val="00C04433"/>
    <w:rsid w:val="00C10091"/>
    <w:rsid w:val="00C12EBC"/>
    <w:rsid w:val="00C2101C"/>
    <w:rsid w:val="00C348B4"/>
    <w:rsid w:val="00C34E37"/>
    <w:rsid w:val="00C35A63"/>
    <w:rsid w:val="00C4228B"/>
    <w:rsid w:val="00C42611"/>
    <w:rsid w:val="00C51680"/>
    <w:rsid w:val="00C5213E"/>
    <w:rsid w:val="00C74843"/>
    <w:rsid w:val="00C75939"/>
    <w:rsid w:val="00C75B29"/>
    <w:rsid w:val="00CB03A8"/>
    <w:rsid w:val="00CB4200"/>
    <w:rsid w:val="00CE64B7"/>
    <w:rsid w:val="00CE789B"/>
    <w:rsid w:val="00CF2167"/>
    <w:rsid w:val="00CF767F"/>
    <w:rsid w:val="00D0321B"/>
    <w:rsid w:val="00D04A9F"/>
    <w:rsid w:val="00D11E7F"/>
    <w:rsid w:val="00D12DCE"/>
    <w:rsid w:val="00D15B49"/>
    <w:rsid w:val="00D16C1A"/>
    <w:rsid w:val="00D17BBB"/>
    <w:rsid w:val="00D21542"/>
    <w:rsid w:val="00D217CB"/>
    <w:rsid w:val="00D3532C"/>
    <w:rsid w:val="00D521B7"/>
    <w:rsid w:val="00D70AD5"/>
    <w:rsid w:val="00D75BD4"/>
    <w:rsid w:val="00D779CE"/>
    <w:rsid w:val="00D8705F"/>
    <w:rsid w:val="00DC5989"/>
    <w:rsid w:val="00DD44B3"/>
    <w:rsid w:val="00DD658E"/>
    <w:rsid w:val="00DE31F9"/>
    <w:rsid w:val="00DF14EE"/>
    <w:rsid w:val="00E03A8F"/>
    <w:rsid w:val="00E05531"/>
    <w:rsid w:val="00E141D7"/>
    <w:rsid w:val="00E27CE7"/>
    <w:rsid w:val="00E36E1D"/>
    <w:rsid w:val="00E424CD"/>
    <w:rsid w:val="00E51159"/>
    <w:rsid w:val="00E53FDD"/>
    <w:rsid w:val="00E6049D"/>
    <w:rsid w:val="00E60595"/>
    <w:rsid w:val="00E629E9"/>
    <w:rsid w:val="00E73348"/>
    <w:rsid w:val="00E759B2"/>
    <w:rsid w:val="00E83778"/>
    <w:rsid w:val="00E879E8"/>
    <w:rsid w:val="00E94BD7"/>
    <w:rsid w:val="00EA1794"/>
    <w:rsid w:val="00EA35CE"/>
    <w:rsid w:val="00EB1693"/>
    <w:rsid w:val="00EB6F80"/>
    <w:rsid w:val="00EC5EB0"/>
    <w:rsid w:val="00EC7125"/>
    <w:rsid w:val="00EE55F2"/>
    <w:rsid w:val="00EE7B5E"/>
    <w:rsid w:val="00F053D6"/>
    <w:rsid w:val="00F12271"/>
    <w:rsid w:val="00F2283E"/>
    <w:rsid w:val="00F24686"/>
    <w:rsid w:val="00F46790"/>
    <w:rsid w:val="00F54485"/>
    <w:rsid w:val="00F62105"/>
    <w:rsid w:val="00F80548"/>
    <w:rsid w:val="00F80CCA"/>
    <w:rsid w:val="00F81C4D"/>
    <w:rsid w:val="00FA611F"/>
    <w:rsid w:val="00FC1D30"/>
    <w:rsid w:val="00FF0D47"/>
  </w:rsids>
  <w:docVars>
    <w:docVar w:name="TemplateVersion" w:val="February2010"/>
  </w:docVars>
  <m:mathPr>
    <m:mathFont m:val="Cambria Math"/>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15:docId w15:val="{2A2FD55F-1AC2-408F-A66B-F698FB52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SimSun" w:hAnsi="Verdana"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D306E"/>
    <w:rPr>
      <w:sz w:val="18"/>
      <w:szCs w:val="18"/>
    </w:rPr>
  </w:style>
  <w:style w:type="paragraph" w:styleId="Heading1">
    <w:name w:val="heading 1"/>
    <w:basedOn w:val="No-numheading1Agency"/>
    <w:next w:val="BodytextAgency"/>
    <w:semiHidden/>
    <w:qFormat/>
    <w:rsid w:val="001856FF"/>
    <w:pPr>
      <w:outlineLvl w:val="0"/>
    </w:pPr>
    <w:rPr>
      <w:noProof/>
    </w:rPr>
  </w:style>
  <w:style w:type="paragraph" w:styleId="Heading2">
    <w:name w:val="heading 2"/>
    <w:basedOn w:val="No-numheading2Agency"/>
    <w:next w:val="BodytextAgency"/>
    <w:semiHidden/>
    <w:qFormat/>
    <w:rsid w:val="001856FF"/>
    <w:pPr>
      <w:outlineLvl w:val="1"/>
    </w:pPr>
  </w:style>
  <w:style w:type="paragraph" w:styleId="Heading3">
    <w:name w:val="heading 3"/>
    <w:basedOn w:val="No-numheading3Agency"/>
    <w:next w:val="BodytextAgency"/>
    <w:semiHidden/>
    <w:qFormat/>
    <w:rsid w:val="001856FF"/>
    <w:pPr>
      <w:outlineLvl w:val="2"/>
    </w:pPr>
  </w:style>
  <w:style w:type="paragraph" w:styleId="Heading4">
    <w:name w:val="heading 4"/>
    <w:basedOn w:val="No-numheading4Agency"/>
    <w:next w:val="BodytextAgency"/>
    <w:semiHidden/>
    <w:qFormat/>
    <w:rsid w:val="001856FF"/>
    <w:pPr>
      <w:outlineLvl w:val="3"/>
    </w:pPr>
  </w:style>
  <w:style w:type="paragraph" w:styleId="Heading5">
    <w:name w:val="heading 5"/>
    <w:basedOn w:val="Normal"/>
    <w:next w:val="Normal"/>
    <w:semiHidden/>
    <w:qFormat/>
    <w:rsid w:val="001856FF"/>
    <w:pPr>
      <w:keepNext/>
      <w:spacing w:before="280" w:after="220"/>
      <w:outlineLvl w:val="4"/>
    </w:pPr>
    <w:rPr>
      <w:rFonts w:eastAsia="Verdana" w:cs="Arial"/>
      <w:b/>
      <w:bCs/>
      <w:i/>
      <w:kern w:val="32"/>
    </w:rPr>
  </w:style>
  <w:style w:type="paragraph" w:styleId="Heading6">
    <w:name w:val="heading 6"/>
    <w:basedOn w:val="No-numheading6Agency"/>
    <w:next w:val="BodytextAgency"/>
    <w:semiHidden/>
    <w:qFormat/>
    <w:rsid w:val="001856FF"/>
    <w:pPr>
      <w:outlineLvl w:val="5"/>
    </w:pPr>
  </w:style>
  <w:style w:type="paragraph" w:styleId="Heading7">
    <w:name w:val="heading 7"/>
    <w:basedOn w:val="No-numheading7Agency"/>
    <w:next w:val="BodytextAgency"/>
    <w:semiHidden/>
    <w:qFormat/>
    <w:rsid w:val="001856FF"/>
    <w:pPr>
      <w:outlineLvl w:val="6"/>
    </w:pPr>
  </w:style>
  <w:style w:type="paragraph" w:styleId="Heading8">
    <w:name w:val="heading 8"/>
    <w:basedOn w:val="No-numheading8Agency"/>
    <w:next w:val="BodytextAgency"/>
    <w:semiHidden/>
    <w:qFormat/>
    <w:rsid w:val="001856FF"/>
    <w:pPr>
      <w:outlineLvl w:val="7"/>
    </w:pPr>
  </w:style>
  <w:style w:type="paragraph" w:styleId="Heading9">
    <w:name w:val="heading 9"/>
    <w:basedOn w:val="No-numheading9Agency"/>
    <w:next w:val="BodytextAgency"/>
    <w:semiHidden/>
    <w:qFormat/>
    <w:rsid w:val="001856F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entredAgency">
    <w:name w:val="Heading centred (Agency)"/>
    <w:basedOn w:val="No-numheading1Agency"/>
    <w:next w:val="BodytextAgency"/>
    <w:rsid w:val="00796BF6"/>
    <w:pPr>
      <w:jc w:val="center"/>
    </w:pPr>
  </w:style>
  <w:style w:type="paragraph" w:styleId="Footer">
    <w:name w:val="footer"/>
    <w:basedOn w:val="Normal"/>
    <w:semiHidden/>
    <w:rsid w:val="00E51159"/>
    <w:pPr>
      <w:tabs>
        <w:tab w:val="center" w:pos="4153"/>
        <w:tab w:val="right" w:pos="8306"/>
      </w:tabs>
    </w:pPr>
    <w:rPr>
      <w:rFonts w:ascii="Arial" w:eastAsia="Times New Roman" w:hAnsi="Arial"/>
      <w:sz w:val="16"/>
      <w:szCs w:val="20"/>
      <w:lang w:eastAsia="en-US"/>
    </w:rPr>
  </w:style>
  <w:style w:type="character" w:styleId="PageNumber">
    <w:name w:val="page number"/>
    <w:basedOn w:val="DefaultParagraphFont"/>
    <w:semiHidden/>
    <w:rsid w:val="00E51159"/>
  </w:style>
  <w:style w:type="paragraph" w:customStyle="1" w:styleId="FooterAgency">
    <w:name w:val="Footer (Agency)"/>
    <w:basedOn w:val="Normal"/>
    <w:link w:val="FooterAgencyCharChar"/>
    <w:rsid w:val="006E778D"/>
    <w:rPr>
      <w:rFonts w:eastAsia="Verdana" w:cs="Verdana"/>
      <w:color w:val="6D6F71"/>
      <w:sz w:val="14"/>
      <w:szCs w:val="14"/>
    </w:rPr>
  </w:style>
  <w:style w:type="paragraph" w:customStyle="1" w:styleId="FooterblueAgency">
    <w:name w:val="Footer blue (Agency)"/>
    <w:basedOn w:val="Normal"/>
    <w:link w:val="FooterblueAgencyCharChar"/>
    <w:rsid w:val="006E778D"/>
    <w:rPr>
      <w:rFonts w:eastAsia="Verdana" w:cs="Verdana"/>
      <w:b/>
      <w:color w:val="003399"/>
      <w:sz w:val="13"/>
      <w:szCs w:val="14"/>
    </w:rPr>
  </w:style>
  <w:style w:type="table" w:customStyle="1" w:styleId="FootertableAgency">
    <w:name w:val="Footer table (Agency)"/>
    <w:basedOn w:val="TableNormal"/>
    <w:semiHidden/>
    <w:rsid w:val="00E51159"/>
    <w:tblPr/>
    <w:tcPr>
      <w:shd w:val="clear" w:color="auto" w:fill="auto"/>
      <w:tcMar>
        <w:left w:w="0" w:type="dxa"/>
        <w:right w:w="0" w:type="dxa"/>
      </w:tcMar>
    </w:tcPr>
    <w:tblStylePr w:type="firstRow">
      <w:rPr>
        <w:rFonts w:ascii="@GungsuhChe" w:hAnsi="@GungsuhChe"/>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6E778D"/>
    <w:rPr>
      <w:rFonts w:eastAsia="Verdana" w:cs="Verdana"/>
      <w:color w:val="6D6F71"/>
      <w:sz w:val="14"/>
      <w:szCs w:val="14"/>
    </w:rPr>
  </w:style>
  <w:style w:type="paragraph" w:customStyle="1" w:styleId="PagenumberAgency">
    <w:name w:val="Page number (Agency)"/>
    <w:basedOn w:val="Normal"/>
    <w:next w:val="Normal"/>
    <w:link w:val="PagenumberAgencyCharChar"/>
    <w:semiHidden/>
    <w:rsid w:val="00E51159"/>
    <w:pPr>
      <w:tabs>
        <w:tab w:val="right" w:pos="9781"/>
      </w:tabs>
      <w:jc w:val="right"/>
    </w:pPr>
    <w:rPr>
      <w:rFonts w:eastAsia="Verdana"/>
      <w:color w:val="6D6F71"/>
      <w:sz w:val="14"/>
      <w:szCs w:val="14"/>
    </w:rPr>
  </w:style>
  <w:style w:type="character" w:customStyle="1" w:styleId="PagenumberAgencyCharChar">
    <w:name w:val="Page number (Agency) Char Char"/>
    <w:basedOn w:val="FooterAgencyCharChar"/>
    <w:link w:val="PagenumberAgency"/>
    <w:semiHidden/>
    <w:rsid w:val="00E51159"/>
    <w:rPr>
      <w:rFonts w:ascii="Verdana" w:eastAsia="Verdana" w:hAnsi="Verdana" w:cs="Verdana"/>
      <w:color w:val="6D6F71"/>
      <w:sz w:val="14"/>
      <w:szCs w:val="14"/>
    </w:rPr>
  </w:style>
  <w:style w:type="character" w:customStyle="1" w:styleId="FooterblueAgencyCharChar">
    <w:name w:val="Footer blue (Agency) Char Char"/>
    <w:link w:val="FooterblueAgency"/>
    <w:rsid w:val="006E778D"/>
    <w:rPr>
      <w:rFonts w:eastAsia="Verdana" w:cs="Verdana"/>
      <w:b/>
      <w:color w:val="003399"/>
      <w:sz w:val="13"/>
      <w:szCs w:val="14"/>
    </w:rPr>
  </w:style>
  <w:style w:type="paragraph" w:styleId="BodyText">
    <w:name w:val="Body Text"/>
    <w:basedOn w:val="Normal"/>
    <w:link w:val="BodyTextChar"/>
    <w:semiHidden/>
    <w:rsid w:val="00E51159"/>
    <w:pPr>
      <w:spacing w:after="140" w:line="280" w:lineRule="atLeast"/>
    </w:pPr>
  </w:style>
  <w:style w:type="paragraph" w:customStyle="1" w:styleId="BodytextAgency">
    <w:name w:val="Body text (Agency)"/>
    <w:basedOn w:val="Normal"/>
    <w:link w:val="BodytextAgencyChar"/>
    <w:qFormat/>
    <w:rsid w:val="001856FF"/>
    <w:pPr>
      <w:spacing w:after="140" w:line="280" w:lineRule="atLeast"/>
    </w:pPr>
    <w:rPr>
      <w:rFonts w:eastAsia="Verdana"/>
    </w:rPr>
  </w:style>
  <w:style w:type="numbering" w:customStyle="1" w:styleId="BulletsAgency">
    <w:name w:val="Bullets (Agency)"/>
    <w:basedOn w:val="NoList"/>
    <w:rsid w:val="00E51159"/>
    <w:pPr>
      <w:numPr>
        <w:numId w:val="1"/>
      </w:numPr>
    </w:pPr>
  </w:style>
  <w:style w:type="paragraph" w:customStyle="1" w:styleId="DisclaimerAgency">
    <w:name w:val="Disclaimer (Agency)"/>
    <w:basedOn w:val="Normal"/>
    <w:semiHidden/>
    <w:rsid w:val="00E51159"/>
    <w:pPr>
      <w:tabs>
        <w:tab w:val="center" w:pos="4320"/>
        <w:tab w:val="right" w:pos="8640"/>
      </w:tabs>
      <w:spacing w:after="57" w:line="150" w:lineRule="exact"/>
    </w:pPr>
    <w:rPr>
      <w:rFonts w:eastAsia="Verdana"/>
      <w:snapToGrid w:val="0"/>
      <w:color w:val="6D6F71"/>
      <w:sz w:val="13"/>
      <w:szCs w:val="13"/>
    </w:rPr>
  </w:style>
  <w:style w:type="paragraph" w:customStyle="1" w:styleId="DocsubtitleAgency">
    <w:name w:val="Doc subtitle (Agency)"/>
    <w:basedOn w:val="Normal"/>
    <w:next w:val="BodytextAgency"/>
    <w:qFormat/>
    <w:rsid w:val="001856FF"/>
    <w:pPr>
      <w:spacing w:after="640" w:line="360" w:lineRule="atLeast"/>
    </w:pPr>
    <w:rPr>
      <w:rFonts w:eastAsia="Verdana"/>
      <w:sz w:val="24"/>
      <w:szCs w:val="24"/>
    </w:rPr>
  </w:style>
  <w:style w:type="paragraph" w:customStyle="1" w:styleId="DoctitleAgency">
    <w:name w:val="Doc title (Agency)"/>
    <w:basedOn w:val="Normal"/>
    <w:next w:val="DocsubtitleAgency"/>
    <w:qFormat/>
    <w:rsid w:val="001856FF"/>
    <w:pPr>
      <w:spacing w:before="720" w:line="360" w:lineRule="atLeast"/>
    </w:pPr>
    <w:rPr>
      <w:rFonts w:eastAsia="Verdana"/>
      <w:color w:val="003399"/>
      <w:sz w:val="32"/>
      <w:szCs w:val="32"/>
    </w:rPr>
  </w:style>
  <w:style w:type="paragraph" w:customStyle="1" w:styleId="DraftingNotesAgency">
    <w:name w:val="Drafting Notes (Agency)"/>
    <w:basedOn w:val="Normal"/>
    <w:next w:val="BodytextAgency"/>
    <w:rsid w:val="00E51159"/>
    <w:pPr>
      <w:spacing w:after="140" w:line="280" w:lineRule="atLeast"/>
    </w:pPr>
    <w:rPr>
      <w:rFonts w:ascii="Courier New" w:eastAsia="Verdana" w:hAnsi="Courier New"/>
      <w:i/>
      <w:color w:val="339966"/>
      <w:sz w:val="22"/>
    </w:rPr>
  </w:style>
  <w:style w:type="character" w:styleId="EndnoteReference">
    <w:name w:val="endnote reference"/>
    <w:semiHidden/>
    <w:rsid w:val="00E51159"/>
    <w:rPr>
      <w:rFonts w:ascii="Verdana" w:hAnsi="Verdana"/>
      <w:vertAlign w:val="superscript"/>
    </w:rPr>
  </w:style>
  <w:style w:type="character" w:customStyle="1" w:styleId="EndnotereferenceAgency">
    <w:name w:val="Endnote reference (Agency)"/>
    <w:semiHidden/>
    <w:rsid w:val="00E51159"/>
    <w:rPr>
      <w:rFonts w:ascii="Verdana" w:hAnsi="Verdana"/>
      <w:vertAlign w:val="superscript"/>
    </w:rPr>
  </w:style>
  <w:style w:type="paragraph" w:styleId="EndnoteText">
    <w:name w:val="endnote text"/>
    <w:basedOn w:val="Normal"/>
    <w:semiHidden/>
    <w:rsid w:val="00E51159"/>
    <w:rPr>
      <w:rFonts w:eastAsia="Verdana"/>
      <w:sz w:val="15"/>
      <w:szCs w:val="15"/>
    </w:rPr>
  </w:style>
  <w:style w:type="paragraph" w:customStyle="1" w:styleId="EndnotetextAgency">
    <w:name w:val="Endnote text (Agency)"/>
    <w:basedOn w:val="Normal"/>
    <w:semiHidden/>
    <w:rsid w:val="00E51159"/>
    <w:rPr>
      <w:rFonts w:eastAsia="Verdana"/>
      <w:sz w:val="15"/>
    </w:rPr>
  </w:style>
  <w:style w:type="paragraph" w:customStyle="1" w:styleId="FigureAgency">
    <w:name w:val="Figure (Agency)"/>
    <w:basedOn w:val="Normal"/>
    <w:next w:val="BodytextAgency"/>
    <w:semiHidden/>
    <w:rsid w:val="00E51159"/>
    <w:pPr>
      <w:jc w:val="center"/>
    </w:pPr>
  </w:style>
  <w:style w:type="paragraph" w:customStyle="1" w:styleId="FigureheadingAgency">
    <w:name w:val="Figure heading (Agency)"/>
    <w:basedOn w:val="Normal"/>
    <w:next w:val="FigureAgency"/>
    <w:qFormat/>
    <w:rsid w:val="001856FF"/>
    <w:pPr>
      <w:keepNext/>
      <w:numPr>
        <w:numId w:val="3"/>
      </w:numPr>
      <w:spacing w:before="240" w:after="120"/>
    </w:pPr>
  </w:style>
  <w:style w:type="character" w:styleId="FootnoteReference">
    <w:name w:val="footnote reference"/>
    <w:semiHidden/>
    <w:rsid w:val="00E51159"/>
    <w:rPr>
      <w:rFonts w:ascii="Verdana" w:hAnsi="Verdana"/>
      <w:vertAlign w:val="superscript"/>
    </w:rPr>
  </w:style>
  <w:style w:type="character" w:customStyle="1" w:styleId="FootnotereferenceAgency">
    <w:name w:val="Footnote reference (Agency)"/>
    <w:qFormat/>
    <w:rsid w:val="001856FF"/>
    <w:rPr>
      <w:rFonts w:ascii="Verdana" w:hAnsi="Verdana"/>
      <w:color w:val="auto"/>
      <w:vertAlign w:val="superscript"/>
    </w:rPr>
  </w:style>
  <w:style w:type="paragraph" w:styleId="FootnoteText">
    <w:name w:val="footnote text"/>
    <w:basedOn w:val="Normal"/>
    <w:semiHidden/>
    <w:rsid w:val="00E51159"/>
    <w:rPr>
      <w:rFonts w:eastAsia="Verdana"/>
      <w:sz w:val="15"/>
      <w:szCs w:val="20"/>
    </w:rPr>
  </w:style>
  <w:style w:type="paragraph" w:customStyle="1" w:styleId="FootnotetextAgency">
    <w:name w:val="Footnote text (Agency)"/>
    <w:basedOn w:val="Normal"/>
    <w:qFormat/>
    <w:rsid w:val="001856FF"/>
    <w:rPr>
      <w:rFonts w:eastAsia="Verdana"/>
      <w:sz w:val="15"/>
    </w:rPr>
  </w:style>
  <w:style w:type="paragraph" w:customStyle="1" w:styleId="HeaderAgency">
    <w:name w:val="Header (Agency)"/>
    <w:basedOn w:val="FooterAgency"/>
    <w:semiHidden/>
    <w:rsid w:val="00B636AF"/>
  </w:style>
  <w:style w:type="paragraph" w:customStyle="1" w:styleId="Heading1Agency">
    <w:name w:val="Heading 1 (Agency)"/>
    <w:basedOn w:val="Normal"/>
    <w:next w:val="BodytextAgency"/>
    <w:qFormat/>
    <w:rsid w:val="001856FF"/>
    <w:pPr>
      <w:keepNext/>
      <w:numPr>
        <w:numId w:val="4"/>
      </w:numPr>
      <w:spacing w:before="280" w:after="220"/>
      <w:outlineLvl w:val="0"/>
    </w:pPr>
    <w:rPr>
      <w:rFonts w:eastAsia="Verdana" w:cs="Arial"/>
      <w:b/>
      <w:bCs/>
      <w:kern w:val="32"/>
      <w:sz w:val="27"/>
      <w:szCs w:val="27"/>
    </w:rPr>
  </w:style>
  <w:style w:type="paragraph" w:customStyle="1" w:styleId="Heading2Agency">
    <w:name w:val="Heading 2 (Agency)"/>
    <w:basedOn w:val="Normal"/>
    <w:next w:val="BodytextAgency"/>
    <w:qFormat/>
    <w:rsid w:val="001856FF"/>
    <w:pPr>
      <w:keepNext/>
      <w:numPr>
        <w:ilvl w:val="1"/>
        <w:numId w:val="4"/>
      </w:numPr>
      <w:spacing w:before="280" w:after="220"/>
      <w:outlineLvl w:val="1"/>
    </w:pPr>
    <w:rPr>
      <w:rFonts w:eastAsia="Verdana" w:cs="Arial"/>
      <w:b/>
      <w:bCs/>
      <w:i/>
      <w:kern w:val="32"/>
      <w:sz w:val="22"/>
      <w:szCs w:val="22"/>
    </w:rPr>
  </w:style>
  <w:style w:type="paragraph" w:customStyle="1" w:styleId="Heading3Agency">
    <w:name w:val="Heading 3 (Agency)"/>
    <w:basedOn w:val="Normal"/>
    <w:next w:val="BodytextAgency"/>
    <w:qFormat/>
    <w:rsid w:val="001856FF"/>
    <w:pPr>
      <w:keepNext/>
      <w:numPr>
        <w:ilvl w:val="2"/>
        <w:numId w:val="4"/>
      </w:numPr>
      <w:spacing w:before="280" w:after="220"/>
      <w:outlineLvl w:val="2"/>
    </w:pPr>
    <w:rPr>
      <w:rFonts w:eastAsia="Verdana" w:cs="Arial"/>
      <w:b/>
      <w:bCs/>
      <w:kern w:val="32"/>
      <w:sz w:val="22"/>
      <w:szCs w:val="22"/>
    </w:rPr>
  </w:style>
  <w:style w:type="paragraph" w:customStyle="1" w:styleId="Heading4Agency">
    <w:name w:val="Heading 4 (Agency)"/>
    <w:basedOn w:val="Heading3Agency"/>
    <w:next w:val="BodytextAgency"/>
    <w:qFormat/>
    <w:rsid w:val="001856FF"/>
    <w:pPr>
      <w:numPr>
        <w:ilvl w:val="3"/>
      </w:numPr>
      <w:outlineLvl w:val="3"/>
    </w:pPr>
    <w:rPr>
      <w:i/>
      <w:sz w:val="18"/>
      <w:szCs w:val="18"/>
    </w:rPr>
  </w:style>
  <w:style w:type="paragraph" w:customStyle="1" w:styleId="Heading5Agency">
    <w:name w:val="Heading 5 (Agency)"/>
    <w:basedOn w:val="Heading4Agency"/>
    <w:next w:val="BodytextAgency"/>
    <w:qFormat/>
    <w:rsid w:val="001856FF"/>
    <w:pPr>
      <w:numPr>
        <w:ilvl w:val="4"/>
      </w:numPr>
      <w:outlineLvl w:val="4"/>
    </w:pPr>
    <w:rPr>
      <w:i w:val="0"/>
    </w:rPr>
  </w:style>
  <w:style w:type="paragraph" w:customStyle="1" w:styleId="Heading6Agency">
    <w:name w:val="Heading 6 (Agency)"/>
    <w:basedOn w:val="Heading5Agency"/>
    <w:next w:val="BodytextAgency"/>
    <w:semiHidden/>
    <w:rsid w:val="00E51159"/>
    <w:pPr>
      <w:numPr>
        <w:ilvl w:val="5"/>
      </w:numPr>
      <w:outlineLvl w:val="5"/>
    </w:pPr>
  </w:style>
  <w:style w:type="paragraph" w:customStyle="1" w:styleId="Heading7Agency">
    <w:name w:val="Heading 7 (Agency)"/>
    <w:basedOn w:val="Heading6Agency"/>
    <w:next w:val="BodytextAgency"/>
    <w:semiHidden/>
    <w:rsid w:val="00E51159"/>
    <w:pPr>
      <w:numPr>
        <w:ilvl w:val="6"/>
      </w:numPr>
      <w:outlineLvl w:val="6"/>
    </w:pPr>
  </w:style>
  <w:style w:type="paragraph" w:customStyle="1" w:styleId="Heading8Agency">
    <w:name w:val="Heading 8 (Agency)"/>
    <w:basedOn w:val="Heading7Agency"/>
    <w:next w:val="BodytextAgency"/>
    <w:semiHidden/>
    <w:rsid w:val="00E51159"/>
    <w:pPr>
      <w:numPr>
        <w:ilvl w:val="7"/>
      </w:numPr>
      <w:outlineLvl w:val="7"/>
    </w:pPr>
  </w:style>
  <w:style w:type="paragraph" w:customStyle="1" w:styleId="Heading9Agency">
    <w:name w:val="Heading 9 (Agency)"/>
    <w:basedOn w:val="Heading8Agency"/>
    <w:next w:val="BodytextAgency"/>
    <w:semiHidden/>
    <w:rsid w:val="00E51159"/>
    <w:pPr>
      <w:numPr>
        <w:ilvl w:val="8"/>
      </w:numPr>
      <w:outlineLvl w:val="8"/>
    </w:pPr>
  </w:style>
  <w:style w:type="paragraph" w:customStyle="1" w:styleId="No-numheading1Agency">
    <w:name w:val="No-num heading 1 (Agency)"/>
    <w:basedOn w:val="Normal"/>
    <w:next w:val="BodytextAgency"/>
    <w:qFormat/>
    <w:rsid w:val="001856FF"/>
    <w:pPr>
      <w:keepNext/>
      <w:spacing w:before="280" w:after="220"/>
      <w:outlineLvl w:val="0"/>
    </w:pPr>
    <w:rPr>
      <w:rFonts w:eastAsia="Verdana" w:cs="Arial"/>
      <w:b/>
      <w:bCs/>
      <w:kern w:val="32"/>
      <w:sz w:val="27"/>
      <w:szCs w:val="27"/>
    </w:rPr>
  </w:style>
  <w:style w:type="paragraph" w:customStyle="1" w:styleId="No-numheading2Agency">
    <w:name w:val="No-num heading 2 (Agency)"/>
    <w:basedOn w:val="Normal"/>
    <w:next w:val="BodytextAgency"/>
    <w:qFormat/>
    <w:rsid w:val="001856FF"/>
    <w:pPr>
      <w:keepNext/>
      <w:spacing w:before="280" w:after="220"/>
      <w:outlineLvl w:val="1"/>
    </w:pPr>
    <w:rPr>
      <w:rFonts w:eastAsia="Verdana" w:cs="Arial"/>
      <w:b/>
      <w:bCs/>
      <w:i/>
      <w:kern w:val="32"/>
      <w:sz w:val="22"/>
      <w:szCs w:val="22"/>
    </w:rPr>
  </w:style>
  <w:style w:type="paragraph" w:customStyle="1" w:styleId="No-numheading3Agency">
    <w:name w:val="No-num heading 3 (Agency)"/>
    <w:basedOn w:val="Heading3Agency"/>
    <w:next w:val="BodytextAgency"/>
    <w:qFormat/>
    <w:rsid w:val="001856FF"/>
    <w:pPr>
      <w:numPr>
        <w:ilvl w:val="0"/>
        <w:numId w:val="0"/>
      </w:numPr>
    </w:pPr>
  </w:style>
  <w:style w:type="paragraph" w:customStyle="1" w:styleId="No-numheading4Agency">
    <w:name w:val="No-num heading 4 (Agency)"/>
    <w:basedOn w:val="Heading4Agency"/>
    <w:next w:val="BodytextAgency"/>
    <w:qFormat/>
    <w:rsid w:val="001856FF"/>
    <w:pPr>
      <w:numPr>
        <w:ilvl w:val="0"/>
        <w:numId w:val="0"/>
      </w:numPr>
    </w:pPr>
  </w:style>
  <w:style w:type="paragraph" w:customStyle="1" w:styleId="No-numheading5Agency">
    <w:name w:val="No-num heading 5 (Agency)"/>
    <w:basedOn w:val="Heading5Agency"/>
    <w:next w:val="BodytextAgency"/>
    <w:qFormat/>
    <w:rsid w:val="001856FF"/>
    <w:pPr>
      <w:numPr>
        <w:ilvl w:val="0"/>
        <w:numId w:val="0"/>
      </w:numPr>
    </w:pPr>
  </w:style>
  <w:style w:type="paragraph" w:customStyle="1" w:styleId="No-numheading6Agency">
    <w:name w:val="No-num heading 6 (Agency)"/>
    <w:basedOn w:val="No-numheading5Agency"/>
    <w:next w:val="BodytextAgency"/>
    <w:semiHidden/>
    <w:rsid w:val="00E51159"/>
    <w:pPr>
      <w:outlineLvl w:val="5"/>
    </w:pPr>
  </w:style>
  <w:style w:type="paragraph" w:customStyle="1" w:styleId="No-numheading7Agency">
    <w:name w:val="No-num heading 7 (Agency)"/>
    <w:basedOn w:val="No-numheading6Agency"/>
    <w:next w:val="BodytextAgency"/>
    <w:semiHidden/>
    <w:rsid w:val="00E51159"/>
    <w:pPr>
      <w:outlineLvl w:val="6"/>
    </w:pPr>
  </w:style>
  <w:style w:type="paragraph" w:customStyle="1" w:styleId="No-numheading8Agency">
    <w:name w:val="No-num heading 8 (Agency)"/>
    <w:basedOn w:val="No-numheading7Agency"/>
    <w:next w:val="BodytextAgency"/>
    <w:semiHidden/>
    <w:rsid w:val="00E51159"/>
    <w:pPr>
      <w:outlineLvl w:val="7"/>
    </w:pPr>
  </w:style>
  <w:style w:type="paragraph" w:customStyle="1" w:styleId="No-numheading9Agency">
    <w:name w:val="No-num heading 9 (Agency)"/>
    <w:basedOn w:val="No-numheading8Agency"/>
    <w:next w:val="BodytextAgency"/>
    <w:semiHidden/>
    <w:rsid w:val="00E51159"/>
    <w:pPr>
      <w:outlineLvl w:val="8"/>
    </w:pPr>
  </w:style>
  <w:style w:type="paragraph" w:customStyle="1" w:styleId="NormalAgency">
    <w:name w:val="Normal (Agency)"/>
    <w:qFormat/>
    <w:rsid w:val="001856FF"/>
    <w:rPr>
      <w:rFonts w:eastAsia="Verdana" w:cs="Verdana"/>
      <w:sz w:val="18"/>
      <w:szCs w:val="18"/>
    </w:rPr>
  </w:style>
  <w:style w:type="paragraph" w:customStyle="1" w:styleId="No-TOCheadingAgency">
    <w:name w:val="No-TOC heading (Agency)"/>
    <w:basedOn w:val="Normal"/>
    <w:next w:val="BodytextAgency"/>
    <w:qFormat/>
    <w:rsid w:val="001856FF"/>
    <w:pPr>
      <w:keepNext/>
      <w:spacing w:before="280" w:after="220"/>
    </w:pPr>
    <w:rPr>
      <w:rFonts w:eastAsia="Times New Roman" w:cs="Arial"/>
      <w:b/>
      <w:kern w:val="32"/>
      <w:sz w:val="27"/>
      <w:szCs w:val="27"/>
    </w:rPr>
  </w:style>
  <w:style w:type="numbering" w:customStyle="1" w:styleId="NumberlistAgency">
    <w:name w:val="Number list (Agency)"/>
    <w:basedOn w:val="NoList"/>
    <w:rsid w:val="00E51159"/>
    <w:pPr>
      <w:numPr>
        <w:numId w:val="2"/>
      </w:numPr>
    </w:pPr>
  </w:style>
  <w:style w:type="paragraph" w:customStyle="1" w:styleId="RefAgency">
    <w:name w:val="Ref. (Agency)"/>
    <w:basedOn w:val="Normal"/>
    <w:qFormat/>
    <w:rsid w:val="001856FF"/>
    <w:rPr>
      <w:rFonts w:eastAsia="Times New Roman"/>
      <w:sz w:val="17"/>
    </w:rPr>
  </w:style>
  <w:style w:type="paragraph" w:customStyle="1" w:styleId="TablefirstrowAgency">
    <w:name w:val="Table first row (Agency)"/>
    <w:basedOn w:val="BodytextAgency"/>
    <w:semiHidden/>
    <w:rsid w:val="00E51159"/>
    <w:pPr>
      <w:keepNext/>
    </w:pPr>
    <w:rPr>
      <w:rFonts w:eastAsia="Times New Roman"/>
      <w:b/>
    </w:rPr>
  </w:style>
  <w:style w:type="table" w:customStyle="1" w:styleId="TablegridAgency">
    <w:name w:val="Table grid (Agency)"/>
    <w:basedOn w:val="TableNormal"/>
    <w:semiHidden/>
    <w:rsid w:val="00AD030F"/>
    <w:rPr>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DaunPenh" w:hAnsi="DaunPenh"/>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ahoma" w:hAnsi="Tahom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E51159"/>
    <w:rPr>
      <w:sz w:val="18"/>
    </w:rPr>
    <w:tblPr/>
    <w:tcPr>
      <w:shd w:val="clear" w:color="auto" w:fill="auto"/>
    </w:tcPr>
    <w:tblStylePr w:type="firstRow">
      <w:rPr>
        <w:rFonts w:ascii="Tahoma" w:hAnsi="Tahom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qFormat/>
    <w:rsid w:val="001856FF"/>
    <w:pPr>
      <w:keepNext/>
      <w:numPr>
        <w:numId w:val="5"/>
      </w:numPr>
      <w:spacing w:before="240" w:after="120"/>
    </w:pPr>
  </w:style>
  <w:style w:type="paragraph" w:customStyle="1" w:styleId="TableheadingrowsAgency">
    <w:name w:val="Table heading rows (Agency)"/>
    <w:basedOn w:val="BodytextAgency"/>
    <w:qFormat/>
    <w:rsid w:val="001856FF"/>
    <w:pPr>
      <w:keepNext/>
    </w:pPr>
    <w:rPr>
      <w:rFonts w:eastAsia="Times New Roman"/>
      <w:b/>
    </w:rPr>
  </w:style>
  <w:style w:type="paragraph" w:customStyle="1" w:styleId="TabletextrowsAgency">
    <w:name w:val="Table text rows (Agency)"/>
    <w:basedOn w:val="Normal"/>
    <w:qFormat/>
    <w:rsid w:val="001856FF"/>
    <w:pPr>
      <w:spacing w:line="280" w:lineRule="exact"/>
    </w:pPr>
    <w:rPr>
      <w:rFonts w:eastAsia="Times New Roman"/>
    </w:rPr>
  </w:style>
  <w:style w:type="paragraph" w:customStyle="1" w:styleId="TableFigurenoteAgency">
    <w:name w:val="Table/Figure note (Agency)"/>
    <w:basedOn w:val="BodytextAgency"/>
    <w:next w:val="BodytextAgency"/>
    <w:qFormat/>
    <w:rsid w:val="001856FF"/>
    <w:pPr>
      <w:spacing w:before="60" w:after="240" w:line="240" w:lineRule="auto"/>
    </w:pPr>
    <w:rPr>
      <w:sz w:val="16"/>
      <w:szCs w:val="16"/>
    </w:rPr>
  </w:style>
  <w:style w:type="paragraph" w:styleId="TOC1">
    <w:name w:val="toc 1"/>
    <w:basedOn w:val="Normal"/>
    <w:next w:val="BodytextAgency"/>
    <w:semiHidden/>
    <w:rsid w:val="00784282"/>
    <w:pPr>
      <w:keepNext/>
      <w:tabs>
        <w:tab w:val="right" w:leader="dot" w:pos="9401"/>
      </w:tabs>
      <w:spacing w:before="140" w:after="57" w:line="240" w:lineRule="atLeast"/>
    </w:pPr>
    <w:rPr>
      <w:rFonts w:eastAsia="Verdana"/>
      <w:b/>
      <w:noProof/>
      <w:sz w:val="22"/>
      <w:szCs w:val="22"/>
    </w:rPr>
  </w:style>
  <w:style w:type="paragraph" w:styleId="TOC2">
    <w:name w:val="toc 2"/>
    <w:basedOn w:val="Normal"/>
    <w:next w:val="BodytextAgency"/>
    <w:semiHidden/>
    <w:rsid w:val="00E51159"/>
    <w:pPr>
      <w:tabs>
        <w:tab w:val="right" w:leader="dot" w:pos="9401"/>
      </w:tabs>
      <w:spacing w:after="57" w:line="240" w:lineRule="atLeast"/>
    </w:pPr>
    <w:rPr>
      <w:rFonts w:eastAsia="Verdana"/>
      <w:noProof/>
      <w:sz w:val="20"/>
    </w:rPr>
  </w:style>
  <w:style w:type="paragraph" w:styleId="TOC3">
    <w:name w:val="toc 3"/>
    <w:basedOn w:val="Normal"/>
    <w:next w:val="BodytextAgency"/>
    <w:semiHidden/>
    <w:rsid w:val="00E51159"/>
    <w:pPr>
      <w:tabs>
        <w:tab w:val="right" w:leader="dot" w:pos="9401"/>
      </w:tabs>
      <w:spacing w:after="57" w:line="240" w:lineRule="atLeast"/>
    </w:pPr>
    <w:rPr>
      <w:rFonts w:eastAsia="Verdana"/>
      <w:noProof/>
      <w:sz w:val="20"/>
    </w:rPr>
  </w:style>
  <w:style w:type="paragraph" w:styleId="TOC4">
    <w:name w:val="toc 4"/>
    <w:basedOn w:val="Normal"/>
    <w:next w:val="BodytextAgency"/>
    <w:semiHidden/>
    <w:rsid w:val="00E51159"/>
    <w:pPr>
      <w:tabs>
        <w:tab w:val="right" w:leader="dot" w:pos="9401"/>
      </w:tabs>
      <w:spacing w:after="57" w:line="240" w:lineRule="atLeast"/>
    </w:pPr>
    <w:rPr>
      <w:noProof/>
      <w:sz w:val="20"/>
    </w:rPr>
  </w:style>
  <w:style w:type="paragraph" w:styleId="TOC5">
    <w:name w:val="toc 5"/>
    <w:basedOn w:val="Normal"/>
    <w:next w:val="BodytextAgency"/>
    <w:semiHidden/>
    <w:rsid w:val="00E51159"/>
    <w:pPr>
      <w:tabs>
        <w:tab w:val="right" w:leader="dot" w:pos="9401"/>
      </w:tabs>
      <w:spacing w:after="57" w:line="240" w:lineRule="atLeast"/>
    </w:pPr>
    <w:rPr>
      <w:noProof/>
      <w:sz w:val="20"/>
    </w:rPr>
  </w:style>
  <w:style w:type="paragraph" w:styleId="TOC6">
    <w:name w:val="toc 6"/>
    <w:basedOn w:val="Normal"/>
    <w:next w:val="BodytextAgency"/>
    <w:semiHidden/>
    <w:rsid w:val="00E51159"/>
    <w:pPr>
      <w:spacing w:after="57" w:line="240" w:lineRule="exact"/>
    </w:pPr>
    <w:rPr>
      <w:rFonts w:eastAsia="Times New Roman"/>
    </w:rPr>
  </w:style>
  <w:style w:type="paragraph" w:styleId="TOC7">
    <w:name w:val="toc 7"/>
    <w:basedOn w:val="Normal"/>
    <w:next w:val="BodytextAgency"/>
    <w:semiHidden/>
    <w:rsid w:val="00E51159"/>
    <w:pPr>
      <w:spacing w:after="57" w:line="240" w:lineRule="exact"/>
    </w:pPr>
    <w:rPr>
      <w:rFonts w:eastAsia="Times New Roman"/>
    </w:rPr>
  </w:style>
  <w:style w:type="paragraph" w:styleId="TOC8">
    <w:name w:val="toc 8"/>
    <w:basedOn w:val="Normal"/>
    <w:next w:val="BodytextAgency"/>
    <w:semiHidden/>
    <w:rsid w:val="00E51159"/>
    <w:pPr>
      <w:spacing w:after="57" w:line="240" w:lineRule="exact"/>
    </w:pPr>
    <w:rPr>
      <w:rFonts w:eastAsia="Times New Roman"/>
    </w:rPr>
  </w:style>
  <w:style w:type="paragraph" w:styleId="TOC9">
    <w:name w:val="toc 9"/>
    <w:basedOn w:val="Normal"/>
    <w:next w:val="BodytextAgency"/>
    <w:semiHidden/>
    <w:rsid w:val="00E51159"/>
    <w:pPr>
      <w:spacing w:after="57" w:line="240" w:lineRule="exact"/>
    </w:pPr>
    <w:rPr>
      <w:rFonts w:eastAsia="Times New Roman"/>
    </w:rPr>
  </w:style>
  <w:style w:type="paragraph" w:customStyle="1" w:styleId="SpecialcommentAgency">
    <w:name w:val="Special comment (Agency)"/>
    <w:next w:val="BodytextAgency"/>
    <w:rsid w:val="00796BF6"/>
    <w:rPr>
      <w:rFonts w:eastAsia="Times New Roman"/>
      <w:color w:val="FF0000"/>
      <w:sz w:val="17"/>
      <w:szCs w:val="17"/>
    </w:rPr>
  </w:style>
  <w:style w:type="paragraph" w:styleId="Header">
    <w:name w:val="header"/>
    <w:basedOn w:val="Normal"/>
    <w:semiHidden/>
    <w:rsid w:val="00B636AF"/>
    <w:pPr>
      <w:tabs>
        <w:tab w:val="center" w:pos="4320"/>
        <w:tab w:val="right" w:pos="8640"/>
      </w:tabs>
    </w:pPr>
  </w:style>
  <w:style w:type="paragraph" w:styleId="BalloonText">
    <w:name w:val="Balloon Text"/>
    <w:basedOn w:val="Normal"/>
    <w:link w:val="BalloonTextChar"/>
    <w:semiHidden/>
    <w:rsid w:val="00B62CFA"/>
    <w:rPr>
      <w:rFonts w:ascii="Tahoma" w:hAnsi="Tahoma" w:cs="Tahoma"/>
      <w:sz w:val="16"/>
      <w:szCs w:val="16"/>
    </w:rPr>
  </w:style>
  <w:style w:type="character" w:customStyle="1" w:styleId="BalloonTextChar">
    <w:name w:val="Balloon Text Char"/>
    <w:link w:val="BalloonText"/>
    <w:semiHidden/>
    <w:rsid w:val="001715B2"/>
    <w:rPr>
      <w:rFonts w:ascii="Tahoma" w:hAnsi="Tahoma" w:cs="Tahoma"/>
      <w:sz w:val="16"/>
      <w:szCs w:val="16"/>
    </w:rPr>
  </w:style>
  <w:style w:type="character" w:customStyle="1" w:styleId="PageNumberAgency0">
    <w:name w:val="Page Number (Agency)"/>
    <w:rsid w:val="001856FF"/>
    <w:rPr>
      <w:rFonts w:ascii="Verdana" w:hAnsi="Verdana"/>
      <w:sz w:val="14"/>
    </w:rPr>
  </w:style>
  <w:style w:type="paragraph" w:customStyle="1" w:styleId="AgencyCHMPno-numheading3Agency">
    <w:name w:val="Agency CHMP no-num heading 3 (Agency)"/>
    <w:basedOn w:val="No-numheading3Agency"/>
    <w:autoRedefine/>
    <w:qFormat/>
    <w:rsid w:val="00E83778"/>
    <w:pPr>
      <w:pBdr>
        <w:bottom w:val="single" w:sz="18" w:space="1" w:color="003399"/>
      </w:pBdr>
    </w:pPr>
    <w:rPr>
      <w:b w:val="0"/>
      <w:color w:val="000000"/>
      <w:sz w:val="20"/>
      <w:szCs w:val="18"/>
    </w:rPr>
  </w:style>
  <w:style w:type="character" w:customStyle="1" w:styleId="BodyTextChar">
    <w:name w:val="Body Text Char"/>
    <w:basedOn w:val="DefaultParagraphFont"/>
    <w:link w:val="BodyText"/>
    <w:semiHidden/>
    <w:rsid w:val="001715B2"/>
  </w:style>
  <w:style w:type="character" w:styleId="CommentReference">
    <w:name w:val="annotation reference"/>
    <w:semiHidden/>
    <w:rsid w:val="00E53FDD"/>
    <w:rPr>
      <w:sz w:val="16"/>
      <w:szCs w:val="16"/>
    </w:rPr>
  </w:style>
  <w:style w:type="paragraph" w:styleId="CommentText">
    <w:name w:val="annotation text"/>
    <w:basedOn w:val="Normal"/>
    <w:link w:val="CommentTextChar"/>
    <w:semiHidden/>
    <w:rsid w:val="00E53FDD"/>
    <w:rPr>
      <w:sz w:val="20"/>
      <w:szCs w:val="20"/>
    </w:rPr>
  </w:style>
  <w:style w:type="character" w:customStyle="1" w:styleId="CommentTextChar">
    <w:name w:val="Comment Text Char"/>
    <w:basedOn w:val="DefaultParagraphFont"/>
    <w:link w:val="CommentText"/>
    <w:semiHidden/>
    <w:rsid w:val="00E53FDD"/>
  </w:style>
  <w:style w:type="paragraph" w:styleId="CommentSubject">
    <w:name w:val="annotation subject"/>
    <w:basedOn w:val="CommentText"/>
    <w:next w:val="CommentText"/>
    <w:link w:val="CommentSubjectChar"/>
    <w:semiHidden/>
    <w:rsid w:val="00E53FDD"/>
    <w:rPr>
      <w:b/>
      <w:bCs/>
    </w:rPr>
  </w:style>
  <w:style w:type="character" w:customStyle="1" w:styleId="CommentSubjectChar">
    <w:name w:val="Comment Subject Char"/>
    <w:link w:val="CommentSubject"/>
    <w:semiHidden/>
    <w:rsid w:val="00E53FDD"/>
    <w:rPr>
      <w:b/>
      <w:bCs/>
    </w:rPr>
  </w:style>
  <w:style w:type="character" w:customStyle="1" w:styleId="BodytextAgencyChar">
    <w:name w:val="Body text (Agency) Char"/>
    <w:link w:val="BodytextAgency"/>
    <w:locked/>
    <w:rsid w:val="006C4FCC"/>
    <w:rPr>
      <w:rFonts w:eastAsia="Verdana"/>
      <w:sz w:val="18"/>
      <w:szCs w:val="18"/>
    </w:rPr>
  </w:style>
  <w:style w:type="paragraph" w:styleId="Date">
    <w:name w:val="Date"/>
    <w:basedOn w:val="Normal"/>
    <w:next w:val="Normal"/>
    <w:semiHidden/>
    <w:rsid w:val="00E51159"/>
  </w:style>
  <w:style w:type="paragraph" w:styleId="DocumentMap">
    <w:name w:val="Document Map"/>
    <w:basedOn w:val="Normal"/>
    <w:semiHidden/>
    <w:rsid w:val="00E51159"/>
    <w:pPr>
      <w:shd w:val="clear" w:color="auto" w:fill="000080"/>
    </w:pPr>
    <w:rPr>
      <w:rFonts w:ascii="Tahoma" w:hAnsi="Tahoma" w:cs="Tahoma"/>
      <w:sz w:val="20"/>
      <w:szCs w:val="20"/>
    </w:rPr>
  </w:style>
  <w:style w:type="paragraph" w:styleId="E-mailSignature">
    <w:name w:val="E-mail Signature"/>
    <w:basedOn w:val="Normal"/>
    <w:semiHidden/>
    <w:rsid w:val="00E51159"/>
  </w:style>
  <w:style w:type="character" w:styleId="Emphasis">
    <w:name w:val="Emphasis"/>
    <w:semiHidden/>
    <w:qFormat/>
    <w:rsid w:val="001856FF"/>
    <w:rPr>
      <w:i/>
      <w:iCs/>
    </w:rPr>
  </w:style>
  <w:style w:type="paragraph" w:styleId="EnvelopeAddress">
    <w:name w:val="envelope address"/>
    <w:basedOn w:val="Normal"/>
    <w:semiHidden/>
    <w:rsid w:val="00E5115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1159"/>
    <w:rPr>
      <w:rFonts w:ascii="Arial" w:hAnsi="Arial" w:cs="Arial"/>
      <w:sz w:val="20"/>
      <w:szCs w:val="20"/>
    </w:rPr>
  </w:style>
  <w:style w:type="character" w:styleId="FollowedHyperlink">
    <w:name w:val="FollowedHyperlink"/>
    <w:semiHidden/>
    <w:rsid w:val="00E51159"/>
    <w:rPr>
      <w:color w:val="800080"/>
      <w:u w:val="single"/>
    </w:rPr>
  </w:style>
  <w:style w:type="character" w:styleId="Hyperlink">
    <w:name w:val="Hyperlink"/>
    <w:semiHidden/>
    <w:rsid w:val="00E51159"/>
    <w:rPr>
      <w:color w:val="0000FF"/>
      <w:u w:val="single"/>
    </w:rPr>
  </w:style>
  <w:style w:type="character" w:styleId="LineNumber">
    <w:name w:val="line number"/>
    <w:basedOn w:val="DefaultParagraphFont"/>
    <w:semiHidden/>
    <w:rsid w:val="00E51159"/>
  </w:style>
  <w:style w:type="paragraph" w:styleId="Macro">
    <w:name w:val="macro"/>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8"/>
      <w:szCs w:val="18"/>
      <w:lang w:eastAsia="zh-CN"/>
    </w:rPr>
  </w:style>
  <w:style w:type="paragraph" w:styleId="NormalWeb">
    <w:name w:val="Normal (Web)"/>
    <w:basedOn w:val="Normal"/>
    <w:semiHidden/>
    <w:rsid w:val="00E51159"/>
    <w:rPr>
      <w:rFonts w:ascii="Times New Roman" w:hAnsi="Times New Roman"/>
      <w:sz w:val="24"/>
      <w:szCs w:val="24"/>
    </w:rPr>
  </w:style>
  <w:style w:type="paragraph" w:styleId="PlainText">
    <w:name w:val="Plain Text"/>
    <w:basedOn w:val="Normal"/>
    <w:semiHidden/>
    <w:rsid w:val="00E51159"/>
    <w:rPr>
      <w:rFonts w:ascii="Courier New" w:hAnsi="Courier New" w:cs="Courier New"/>
      <w:sz w:val="20"/>
      <w:szCs w:val="20"/>
    </w:rPr>
  </w:style>
  <w:style w:type="paragraph" w:styleId="Salutation">
    <w:name w:val="Salutation"/>
    <w:basedOn w:val="Normal"/>
    <w:next w:val="Normal"/>
    <w:semiHidden/>
    <w:rsid w:val="00E51159"/>
  </w:style>
  <w:style w:type="character" w:styleId="Strong">
    <w:name w:val="Strong"/>
    <w:semiHidden/>
    <w:qFormat/>
    <w:rsid w:val="001856FF"/>
    <w:rPr>
      <w:b/>
      <w:bCs/>
    </w:rPr>
  </w:style>
  <w:style w:type="table" w:styleId="TableGrid">
    <w:name w:val="Table Grid"/>
    <w:basedOn w:val="TableNormal"/>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E51159"/>
    <w:pPr>
      <w:ind w:left="180" w:hanging="180"/>
    </w:pPr>
  </w:style>
  <w:style w:type="paragraph" w:styleId="TableofFigures">
    <w:name w:val="table of figures"/>
    <w:basedOn w:val="Normal"/>
    <w:next w:val="Normal"/>
    <w:semiHidden/>
    <w:rsid w:val="00E51159"/>
  </w:style>
  <w:style w:type="paragraph" w:styleId="TOAHeading">
    <w:name w:val="toa heading"/>
    <w:basedOn w:val="Normal"/>
    <w:next w:val="Normal"/>
    <w:semiHidden/>
    <w:rsid w:val="00E51159"/>
    <w:pPr>
      <w:spacing w:before="120"/>
    </w:pPr>
    <w:rPr>
      <w:rFonts w:ascii="Arial" w:hAnsi="Arial" w:cs="Arial"/>
      <w:b/>
      <w:bCs/>
      <w:sz w:val="24"/>
      <w:szCs w:val="24"/>
    </w:rPr>
  </w:style>
  <w:style w:type="paragraph" w:customStyle="1" w:styleId="DoccategoryheadingAgency">
    <w:name w:val="Doc category heading (Agency)"/>
    <w:next w:val="BodytextAgency"/>
    <w:rsid w:val="00796BF6"/>
    <w:pPr>
      <w:keepNext/>
      <w:pBdr>
        <w:bottom w:val="single" w:sz="4" w:space="1" w:color="auto"/>
      </w:pBdr>
      <w:spacing w:before="567"/>
    </w:pPr>
    <w:rPr>
      <w:rFonts w:eastAsia="Verdana" w:cs="Verdana"/>
      <w:b/>
      <w:color w:val="003399"/>
      <w:sz w:val="18"/>
      <w:szCs w:val="18"/>
    </w:rPr>
  </w:style>
  <w:style w:type="character" w:customStyle="1" w:styleId="UnresolvedMention1">
    <w:name w:val="Unresolved Mention1"/>
    <w:basedOn w:val="DefaultParagraphFont"/>
    <w:rsid w:val="00D779CE"/>
    <w:rPr>
      <w:color w:val="605E5C"/>
      <w:shd w:val="clear" w:color="auto" w:fill="E1DFDD"/>
    </w:rPr>
  </w:style>
  <w:style w:type="paragraph" w:styleId="ListParagraph">
    <w:name w:val="List Paragraph"/>
    <w:basedOn w:val="Normal"/>
    <w:uiPriority w:val="34"/>
    <w:qFormat/>
    <w:rsid w:val="00EB6F80"/>
    <w:pPr>
      <w:ind w:left="720"/>
    </w:pPr>
    <w:rPr>
      <w:rFonts w:ascii="Calibri" w:hAnsi="Calibri" w:eastAsiaTheme="minorHAns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footer3.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D1F98DD</Template>
  <TotalTime>1</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MLT rolling report on COVID-19 discussions</vt:lpstr>
    </vt:vector>
  </TitlesOfParts>
  <Company>European Medicines Agency</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MLT rolling report on COVID-19 discussions</dc:title>
  <dc:creator>Kpenou Laetitia</dc:creator>
  <dc:description>Template version: 8 August 2014</dc:description>
  <cp:lastModifiedBy>Prilla Stefanie</cp:lastModifiedBy>
  <cp:revision>4</cp:revision>
  <cp:lastPrinted>2016-04-07T15:34:00Z</cp:lastPrinted>
  <dcterms:created xsi:type="dcterms:W3CDTF">2020-11-25T16:06:00Z</dcterms:created>
  <dcterms:modified xsi:type="dcterms:W3CDTF">2020-11-25T16:43:00Z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Category">
    <vt:lpwstr>General</vt:lpwstr>
  </property>
  <property fmtid="{D5CDD505-2E9C-101B-9397-08002B2CF9AE}" pid="5" name="DM_Creation_Date">
    <vt:lpwstr>25/11/2020 17:43:37</vt:lpwstr>
  </property>
  <property fmtid="{D5CDD505-2E9C-101B-9397-08002B2CF9AE}" pid="6" name="DM_Creator_Name">
    <vt:lpwstr>Prilla Stefanie</vt:lpwstr>
  </property>
  <property fmtid="{D5CDD505-2E9C-101B-9397-08002B2CF9AE}" pid="7" name="DM_DocRefId">
    <vt:lpwstr>EMA/637405/2020</vt:lpwstr>
  </property>
  <property fmtid="{D5CDD505-2E9C-101B-9397-08002B2CF9AE}" pid="8" name="DM_emea_doc_ref_id">
    <vt:lpwstr>EMA/637405/2020</vt:lpwstr>
  </property>
  <property fmtid="{D5CDD505-2E9C-101B-9397-08002B2CF9AE}" pid="9" name="DM_emea_filing_code">
    <vt:lpwstr> </vt:lpwstr>
  </property>
  <property fmtid="{D5CDD505-2E9C-101B-9397-08002B2CF9AE}" pid="10" name="DM_Keywords">
    <vt:lpwstr/>
  </property>
  <property fmtid="{D5CDD505-2E9C-101B-9397-08002B2CF9AE}" pid="11" name="DM_Language">
    <vt:lpwstr/>
  </property>
  <property fmtid="{D5CDD505-2E9C-101B-9397-08002B2CF9AE}" pid="12" name="DM_Modifer_Name">
    <vt:lpwstr>Prilla Stefanie</vt:lpwstr>
  </property>
  <property fmtid="{D5CDD505-2E9C-101B-9397-08002B2CF9AE}" pid="13" name="DM_Modified_Date">
    <vt:lpwstr>25/11/2020 17:43:37</vt:lpwstr>
  </property>
  <property fmtid="{D5CDD505-2E9C-101B-9397-08002B2CF9AE}" pid="14" name="DM_Modifier_Name">
    <vt:lpwstr>Prilla Stefanie</vt:lpwstr>
  </property>
  <property fmtid="{D5CDD505-2E9C-101B-9397-08002B2CF9AE}" pid="15" name="DM_Modify_Date">
    <vt:lpwstr>25/11/2020 17:43:37</vt:lpwstr>
  </property>
  <property fmtid="{D5CDD505-2E9C-101B-9397-08002B2CF9AE}" pid="16" name="DM_Name">
    <vt:lpwstr>MLT rolling report on COVID-19 discussions</vt:lpwstr>
  </property>
  <property fmtid="{D5CDD505-2E9C-101B-9397-08002B2CF9AE}" pid="17" name="DM_Path">
    <vt:lpwstr>/06. Corporate governance/06.4 Advisory bodies/Medicines Leadership Team (MLT)/2020 MLT meetings/2020.11.25 - Ad-hoc MLT</vt:lpwstr>
  </property>
  <property fmtid="{D5CDD505-2E9C-101B-9397-08002B2CF9AE}" pid="18" name="DM_Status">
    <vt:lpwstr/>
  </property>
  <property fmtid="{D5CDD505-2E9C-101B-9397-08002B2CF9AE}" pid="19" name="DM_Subject">
    <vt:lpwstr/>
  </property>
  <property fmtid="{D5CDD505-2E9C-101B-9397-08002B2CF9AE}" pid="20" name="DM_Title">
    <vt:lpwstr/>
  </property>
  <property fmtid="{D5CDD505-2E9C-101B-9397-08002B2CF9AE}" pid="21" name="DM_Type">
    <vt:lpwstr>emea_document</vt:lpwstr>
  </property>
  <property fmtid="{D5CDD505-2E9C-101B-9397-08002B2CF9AE}" pid="22" name="DM_Version">
    <vt:lpwstr>2.1,CURRENT</vt:lpwstr>
  </property>
  <property fmtid="{D5CDD505-2E9C-101B-9397-08002B2CF9AE}" pid="23" name="MSIP_Label_0eea11ca-d417-4147-80ed-01a58412c458_ActionId">
    <vt:lpwstr>b8b67f6f-2acf-41cd-b60c-7a2c269e44ec</vt:lpwstr>
  </property>
  <property fmtid="{D5CDD505-2E9C-101B-9397-08002B2CF9AE}" pid="24" name="MSIP_Label_0eea11ca-d417-4147-80ed-01a58412c458_Application">
    <vt:lpwstr>Microsoft Azure Information Protection</vt:lpwstr>
  </property>
  <property fmtid="{D5CDD505-2E9C-101B-9397-08002B2CF9AE}" pid="25" name="MSIP_Label_0eea11ca-d417-4147-80ed-01a58412c458_Enabled">
    <vt:lpwstr>True</vt:lpwstr>
  </property>
  <property fmtid="{D5CDD505-2E9C-101B-9397-08002B2CF9AE}" pid="26" name="MSIP_Label_0eea11ca-d417-4147-80ed-01a58412c458_Extended_MSFT_Method">
    <vt:lpwstr>Automatic</vt:lpwstr>
  </property>
  <property fmtid="{D5CDD505-2E9C-101B-9397-08002B2CF9AE}" pid="27" name="MSIP_Label_0eea11ca-d417-4147-80ed-01a58412c458_Name">
    <vt:lpwstr>All EMA Staff and Contractors</vt:lpwstr>
  </property>
  <property fmtid="{D5CDD505-2E9C-101B-9397-08002B2CF9AE}" pid="28" name="MSIP_Label_0eea11ca-d417-4147-80ed-01a58412c458_Owner">
    <vt:lpwstr>stefanie.prilla@ema.europa.eu</vt:lpwstr>
  </property>
  <property fmtid="{D5CDD505-2E9C-101B-9397-08002B2CF9AE}" pid="29" name="MSIP_Label_0eea11ca-d417-4147-80ed-01a58412c458_Parent">
    <vt:lpwstr>afe1b31d-cec0-4074-b4bd-f07689e43d84</vt:lpwstr>
  </property>
  <property fmtid="{D5CDD505-2E9C-101B-9397-08002B2CF9AE}" pid="30" name="MSIP_Label_0eea11ca-d417-4147-80ed-01a58412c458_SetDate">
    <vt:lpwstr>2020-11-24T10:11:28.4099980Z</vt:lpwstr>
  </property>
  <property fmtid="{D5CDD505-2E9C-101B-9397-08002B2CF9AE}" pid="31" name="MSIP_Label_0eea11ca-d417-4147-80ed-01a58412c458_SiteId">
    <vt:lpwstr>bc9dc15c-61bc-4f03-b60b-e5b6d8922839</vt:lpwstr>
  </property>
  <property fmtid="{D5CDD505-2E9C-101B-9397-08002B2CF9AE}" pid="32" name="MSIP_Label_afe1b31d-cec0-4074-b4bd-f07689e43d84_ActionId">
    <vt:lpwstr>b8b67f6f-2acf-41cd-b60c-7a2c269e44ec</vt:lpwstr>
  </property>
  <property fmtid="{D5CDD505-2E9C-101B-9397-08002B2CF9AE}" pid="33" name="MSIP_Label_afe1b31d-cec0-4074-b4bd-f07689e43d84_Application">
    <vt:lpwstr>Microsoft Azure Information Protection</vt:lpwstr>
  </property>
  <property fmtid="{D5CDD505-2E9C-101B-9397-08002B2CF9AE}" pid="34" name="MSIP_Label_afe1b31d-cec0-4074-b4bd-f07689e43d84_Enabled">
    <vt:lpwstr>True</vt:lpwstr>
  </property>
  <property fmtid="{D5CDD505-2E9C-101B-9397-08002B2CF9AE}" pid="35" name="MSIP_Label_afe1b31d-cec0-4074-b4bd-f07689e43d84_Extended_MSFT_Method">
    <vt:lpwstr>Automatic</vt:lpwstr>
  </property>
  <property fmtid="{D5CDD505-2E9C-101B-9397-08002B2CF9AE}" pid="36" name="MSIP_Label_afe1b31d-cec0-4074-b4bd-f07689e43d84_Name">
    <vt:lpwstr>Internal</vt:lpwstr>
  </property>
  <property fmtid="{D5CDD505-2E9C-101B-9397-08002B2CF9AE}" pid="37" name="MSIP_Label_afe1b31d-cec0-4074-b4bd-f07689e43d84_Owner">
    <vt:lpwstr>stefanie.prilla@ema.europa.eu</vt:lpwstr>
  </property>
  <property fmtid="{D5CDD505-2E9C-101B-9397-08002B2CF9AE}" pid="38" name="MSIP_Label_afe1b31d-cec0-4074-b4bd-f07689e43d84_SetDate">
    <vt:lpwstr>2020-11-24T10:11:28.4099980Z</vt:lpwstr>
  </property>
  <property fmtid="{D5CDD505-2E9C-101B-9397-08002B2CF9AE}" pid="39" name="MSIP_Label_afe1b31d-cec0-4074-b4bd-f07689e43d84_SiteId">
    <vt:lpwstr>bc9dc15c-61bc-4f03-b60b-e5b6d8922839</vt:lpwstr>
  </property>
</Properties>
</file>